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rPr>
      </w:pPr>
      <w:r>
        <w:rPr>
          <w:rFonts w:cs="Times New Roman" w:ascii="Times New Roman" w:hAnsi="Times New Roman"/>
          <w:b/>
        </w:rPr>
        <w:t>UNIWERSYTET ZIELONOGÓRSKI</w:t>
      </w:r>
    </w:p>
    <w:p>
      <w:pPr>
        <w:pStyle w:val="Normal"/>
        <w:jc w:val="center"/>
        <w:rPr>
          <w:rFonts w:ascii="Times New Roman" w:hAnsi="Times New Roman" w:cs="Times New Roman"/>
        </w:rPr>
      </w:pPr>
      <w:r>
        <w:rPr>
          <w:rFonts w:cs="Times New Roman" w:ascii="Times New Roman" w:hAnsi="Times New Roman"/>
        </w:rPr>
        <w:t>WYDZIAŁ EKONOMII I ZARZĄDZANIA</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PROGRAM KSZTAŁCENIA</w:t>
      </w:r>
    </w:p>
    <w:p>
      <w:pPr>
        <w:pStyle w:val="Normal"/>
        <w:jc w:val="center"/>
        <w:rPr>
          <w:rFonts w:ascii="Times New Roman" w:hAnsi="Times New Roman" w:cs="Times New Roman"/>
        </w:rPr>
      </w:pPr>
      <w:r>
        <w:rPr>
          <w:rFonts w:cs="Times New Roman" w:ascii="Times New Roman" w:hAnsi="Times New Roman"/>
        </w:rPr>
        <w:t>STUDIA PODYPLOMOWE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eastAsia="Book Antiqua" w:cs="Times New Roman" w:ascii="Times New Roman" w:hAnsi="Times New Roman"/>
          <w:b/>
          <w:i/>
          <w:iCs/>
          <w:sz w:val="32"/>
        </w:rPr>
        <w:t>Szkody w gospodarstwach rolnych i ich szacowanie</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Przyjęty Uchwałą Rady Wydziału Ekonomii i Zarządzania Uniwersytetu Zielonogórskiego</w:t>
      </w:r>
    </w:p>
    <w:p>
      <w:pPr>
        <w:pStyle w:val="Normal"/>
        <w:jc w:val="center"/>
        <w:rPr>
          <w:rFonts w:ascii="Times New Roman" w:hAnsi="Times New Roman" w:cs="Times New Roman"/>
        </w:rPr>
      </w:pPr>
      <w:r>
        <w:rPr>
          <w:rFonts w:cs="Times New Roman" w:ascii="Times New Roman" w:hAnsi="Times New Roman"/>
        </w:rPr>
        <w:t>z dnia 18 stycznia 2018 roku.</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rPr>
          <w:rFonts w:ascii="Times New Roman" w:hAnsi="Times New Roman" w:cs="Times New Roman"/>
          <w:sz w:val="28"/>
          <w:szCs w:val="28"/>
        </w:rPr>
      </w:pPr>
      <w:r>
        <w:rPr>
          <w:rFonts w:cs="Times New Roman" w:ascii="Times New Roman" w:hAnsi="Times New Roman"/>
          <w:b/>
          <w:sz w:val="28"/>
          <w:szCs w:val="28"/>
        </w:rPr>
        <w:t>OGÓLNA CHARAKTERYSTYKA STUDIÓW</w:t>
      </w:r>
    </w:p>
    <w:p>
      <w:pPr>
        <w:pStyle w:val="ListParagraph"/>
        <w:ind w:left="284" w:hanging="0"/>
        <w:rPr>
          <w:rFonts w:ascii="Times New Roman" w:hAnsi="Times New Roman" w:cs="Times New Roman"/>
          <w:sz w:val="28"/>
          <w:szCs w:val="28"/>
        </w:rPr>
      </w:pPr>
      <w:r>
        <w:rPr>
          <w:rFonts w:cs="Times New Roman" w:ascii="Times New Roman" w:hAnsi="Times New Roman"/>
          <w:sz w:val="28"/>
          <w:szCs w:val="28"/>
        </w:rPr>
      </w:r>
    </w:p>
    <w:tbl>
      <w:tblPr>
        <w:tblStyle w:val="Tabela-Siatka"/>
        <w:tblW w:w="8812" w:type="dxa"/>
        <w:jc w:val="left"/>
        <w:tblInd w:w="250" w:type="dxa"/>
        <w:tblCellMar>
          <w:top w:w="0" w:type="dxa"/>
          <w:left w:w="108" w:type="dxa"/>
          <w:bottom w:w="0" w:type="dxa"/>
          <w:right w:w="108" w:type="dxa"/>
        </w:tblCellMar>
        <w:tblLook w:firstRow="1" w:noVBand="1" w:lastRow="0" w:firstColumn="1" w:lastColumn="0" w:noHBand="0" w:val="04a0"/>
      </w:tblPr>
      <w:tblGrid>
        <w:gridCol w:w="2504"/>
        <w:gridCol w:w="6307"/>
      </w:tblGrid>
      <w:tr>
        <w:trPr>
          <w:trHeight w:val="701" w:hRule="atLeast"/>
        </w:trPr>
        <w:tc>
          <w:tcPr>
            <w:tcW w:w="2504" w:type="dxa"/>
            <w:tcBorders/>
            <w:shd w:fill="auto" w:val="clear"/>
          </w:tcPr>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Nazwa studiów</w:t>
            </w:r>
          </w:p>
        </w:tc>
        <w:tc>
          <w:tcPr>
            <w:tcW w:w="6307" w:type="dxa"/>
            <w:tcBorders/>
            <w:shd w:fill="auto" w:val="clear"/>
          </w:tcPr>
          <w:p>
            <w:pPr>
              <w:pStyle w:val="Normal"/>
              <w:numPr>
                <w:ilvl w:val="0"/>
                <w:numId w:val="0"/>
              </w:numPr>
              <w:pBdr>
                <w:bottom w:val="single" w:sz="6" w:space="6" w:color="FDE3CD"/>
              </w:pBdr>
              <w:spacing w:lineRule="auto" w:line="240" w:before="0" w:after="0"/>
              <w:outlineLvl w:val="1"/>
              <w:rPr>
                <w:rFonts w:ascii="Times New Roman" w:hAnsi="Times New Roman" w:eastAsia="Times New Roman" w:cs="Times New Roman"/>
                <w:bCs/>
                <w:sz w:val="36"/>
                <w:szCs w:val="36"/>
              </w:rPr>
            </w:pPr>
            <w:r>
              <w:rPr>
                <w:rFonts w:eastAsia="Book Antiqua" w:cs="Times New Roman" w:ascii="Times New Roman" w:hAnsi="Times New Roman"/>
                <w:b/>
                <w:i/>
                <w:iCs/>
                <w:sz w:val="32"/>
              </w:rPr>
              <w:t>Szkody w gospodarstwach rolnych i ich szacowanie</w:t>
            </w:r>
          </w:p>
        </w:tc>
      </w:tr>
      <w:tr>
        <w:trPr/>
        <w:tc>
          <w:tcPr>
            <w:tcW w:w="2504" w:type="dxa"/>
            <w:tcBorders/>
            <w:shd w:fill="auto" w:val="clear"/>
          </w:tcPr>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Tryb prowadzenia studiów</w:t>
            </w:r>
          </w:p>
        </w:tc>
        <w:tc>
          <w:tcPr>
            <w:tcW w:w="6307" w:type="dxa"/>
            <w:tcBorders/>
            <w:shd w:fill="auto" w:val="clear"/>
          </w:tcPr>
          <w:p>
            <w:pPr>
              <w:pStyle w:val="ListParagraph"/>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t>niestacjonarne</w:t>
            </w:r>
          </w:p>
        </w:tc>
      </w:tr>
    </w:tbl>
    <w:p>
      <w:pPr>
        <w:pStyle w:val="Normal"/>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14" w:hanging="357"/>
        <w:contextualSpacing/>
        <w:rPr>
          <w:rFonts w:ascii="Times New Roman" w:hAnsi="Times New Roman" w:cs="Times New Roman"/>
          <w:b/>
          <w:b/>
          <w:sz w:val="28"/>
          <w:szCs w:val="28"/>
        </w:rPr>
      </w:pPr>
      <w:r>
        <w:rPr>
          <w:rFonts w:cs="Times New Roman" w:ascii="Times New Roman" w:hAnsi="Times New Roman"/>
          <w:b/>
          <w:sz w:val="28"/>
          <w:szCs w:val="28"/>
        </w:rPr>
        <w:t>Cel kształcenia</w:t>
      </w:r>
    </w:p>
    <w:p>
      <w:pPr>
        <w:pStyle w:val="Normal"/>
        <w:spacing w:lineRule="auto" w:line="360"/>
        <w:ind w:firstLine="35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Celem studiów podyplomowych jest dostarczenie wiedzy w zakresie czynników powodujących straty w zróżnicowanych gospodarstwach rolnych oraz nabycie umiejętności praktycznych w szacowaniu strat w ujęciu rozmiarowym i ekonomicznym.  Absolwenci zostaną wyposażeni w umiejętności praktyczne z zakresu ekonomii, zarządzania, prawa oraz leśnictwa, które stanowią podstawę do wykonywania zawodu rzeczoznawcy przygotowującego ekspertyzy na temat identyfikacji, szacowania i wyceny szkód w leśnictwie. Efektem studiów jest przygotowanie słuchaczy do samodzielnego szacowania strat w sektorze rolnym spowodowanych zwierzyną łowną oraz współpracy z zaangażowanymi podmiotami, którym z mocy prawa przypisana jest odpowiedzialność odszkodowawcza. Zakłada się, iż absolwenci studiów podyplomowych uzyskają wiedzę, która będzie przydatna dla zapobiegania i rozwiązywania sytuacji konfliktowych, występujących na styku działalności gospodarczej i oczekiwań społecznych w zakresie ochrony. Ponadto zdobędą najnowszą wiedzę dotyczącą przepisów prawnych związanych z odpowiedzialnością za szkody oraz umiejętności praktyczne w przygotowywaniu ekspertyz na temat identyfikacji i wyceny szkód wyrządzanych przez zwierzęta łowne i chronione. Studia umożliwiają zdobycie i pogłębienie wiedzy nie tylko z zakresu ekonomiki rolnictwa i leśnictwa, ale również z zakresu prawa, wyceny środowiskowej, analizy finansowej, i wielu innych zagadnień przedstawionych w programie studiów. Studia te stanowią ofertę dla pracowników samorządów (gminy, starostwa, urzędy wojewódzkie), lasów państwowych, przedstawicieli kół łowieckich Polskiego Związku Łowieckiego (PZŁ) oraz organizacji pozarządowych zajmujących się szeroko rozumianą ochroną przyrody i doradztwem rolniczym.</w:t>
      </w:r>
      <w:bookmarkStart w:id="0" w:name="_Hlk146279533"/>
      <w:bookmarkEnd w:id="0"/>
    </w:p>
    <w:p>
      <w:pPr>
        <w:pStyle w:val="ListParagraph"/>
        <w:jc w:val="both"/>
        <w:rPr/>
      </w:pPr>
      <w:r>
        <w:rPr/>
      </w:r>
    </w:p>
    <w:p>
      <w:pPr>
        <w:pStyle w:val="ListParagraph"/>
        <w:numPr>
          <w:ilvl w:val="0"/>
          <w:numId w:val="1"/>
        </w:numPr>
        <w:spacing w:lineRule="auto" w:line="360" w:before="0" w:after="0"/>
        <w:ind w:left="714" w:hanging="357"/>
        <w:contextualSpacing/>
        <w:jc w:val="both"/>
        <w:rPr>
          <w:rStyle w:val="Strong"/>
          <w:rFonts w:ascii="Times New Roman" w:hAnsi="Times New Roman"/>
          <w:sz w:val="28"/>
          <w:szCs w:val="28"/>
        </w:rPr>
      </w:pPr>
      <w:r>
        <w:rPr>
          <w:rStyle w:val="Strong"/>
          <w:rFonts w:ascii="Times New Roman" w:hAnsi="Times New Roman"/>
          <w:sz w:val="28"/>
          <w:szCs w:val="28"/>
        </w:rPr>
        <w:t>Adresaci</w:t>
      </w:r>
    </w:p>
    <w:p>
      <w:pPr>
        <w:pStyle w:val="Normal"/>
        <w:spacing w:lineRule="auto" w:line="360" w:before="0" w:after="0"/>
        <w:ind w:firstLine="357"/>
        <w:jc w:val="both"/>
        <w:rPr>
          <w:rFonts w:ascii="Times New Roman" w:hAnsi="Times New Roman" w:cs="Times New Roman"/>
          <w:b/>
          <w:b/>
          <w:sz w:val="28"/>
          <w:szCs w:val="28"/>
        </w:rPr>
      </w:pPr>
      <w:r>
        <w:rPr>
          <w:rFonts w:eastAsia="Times New Roman" w:cs="Times New Roman" w:ascii="Times New Roman" w:hAnsi="Times New Roman"/>
          <w:sz w:val="24"/>
          <w:szCs w:val="24"/>
        </w:rPr>
        <w:t>Absolwenci szkół wyższych zarówno ekonomicznych jak i nieekonomicznych, posiadający wykształcenie wyższe licencjackie, inżynierskie, magisterskie. Szerokie spektrum zagadnień poruszanych na studiach pozwala na uczestnictwo w nich osób, które dopiero zaczynają pracę w obszarze wyceny szkód leśnych, jak i osób pracujących w organach samorządowych, przedsiębiorstwach i instytucjach rolnych i leśnych od wielu lat. Studia przeznaczone są dla pracowników zatrudnionych w administracji państwowej różnego szczebla, lasach państwowych, izb rolniczych, ośrodków doradztwa rolniczego, myśliwych i wszystkich, którzy są zainteresowani uzyskaniem kwalifikacji w zakresie szacowania szkód leśnych oraz osób działających w organizacjach i stowarzyszeniach zajmujących się szeroko rozumianą ochroną środowiska, a także  pragnących związać swoją przyszłość z leśnictwem.</w:t>
      </w:r>
    </w:p>
    <w:p>
      <w:pPr>
        <w:pStyle w:val="Normal"/>
        <w:tabs>
          <w:tab w:val="clear" w:pos="708"/>
          <w:tab w:val="left" w:pos="6255" w:leader="none"/>
        </w:tabs>
        <w:spacing w:lineRule="auto" w:line="360" w:before="0" w:after="0"/>
        <w:jc w:val="both"/>
        <w:rPr>
          <w:rFonts w:ascii="Times New Roman" w:hAnsi="Times New Roman" w:eastAsia="Times New Roman" w:cs="Times New Roman"/>
          <w:sz w:val="23"/>
          <w:szCs w:val="23"/>
        </w:rPr>
      </w:pPr>
      <w:r>
        <w:rPr>
          <w:rFonts w:eastAsia="Times New Roman" w:cs="Times New Roman" w:ascii="Times New Roman" w:hAnsi="Times New Roman"/>
          <w:sz w:val="24"/>
          <w:szCs w:val="24"/>
        </w:rPr>
        <w:tab/>
      </w:r>
    </w:p>
    <w:p>
      <w:pPr>
        <w:pStyle w:val="ListParagraph"/>
        <w:numPr>
          <w:ilvl w:val="0"/>
          <w:numId w:val="1"/>
        </w:numPr>
        <w:spacing w:lineRule="auto" w:line="360" w:before="0" w:after="0"/>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bCs/>
          <w:sz w:val="28"/>
          <w:szCs w:val="28"/>
        </w:rPr>
        <w:t>Dodatkowe informacje</w:t>
      </w:r>
    </w:p>
    <w:p>
      <w:pPr>
        <w:pStyle w:val="Normal"/>
        <w:spacing w:lineRule="atLeast" w:line="360" w:before="0" w:after="0"/>
        <w:ind w:first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Program studiów został dostosowany do wymagań znowelizowanej ustawy o szkolnictwie wyższym. Zarówno program jak i efekty uczenia się zostały opracowane w oparciu o Krajowe Ramy Kwalifikacji, a za ukończenie studiów przysługiwać będzie 30 punktów ECTS według Europejskiego Systemu Transferu Punktów (ang. European Credit Transfer System, ECTS).</w:t>
      </w:r>
    </w:p>
    <w:p>
      <w:pPr>
        <w:pStyle w:val="Normal"/>
        <w:spacing w:lineRule="atLeast" w:line="360" w:before="0" w:after="0"/>
        <w:jc w:val="both"/>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spacing w:lineRule="auto" w:line="360" w:before="0" w:after="0"/>
        <w:ind w:firstLine="360"/>
        <w:jc w:val="both"/>
        <w:rPr>
          <w:rStyle w:val="Appleconvertedspace"/>
          <w:rFonts w:ascii="Times New Roman" w:hAnsi="Times New Roman" w:cs="Times New Roman"/>
          <w:color w:val="000000"/>
          <w:sz w:val="24"/>
          <w:szCs w:val="24"/>
          <w:highlight w:val="white"/>
        </w:rPr>
      </w:pPr>
      <w:r>
        <w:rPr>
          <w:rStyle w:val="Appleconvertedspace"/>
          <w:rFonts w:cs="Times New Roman" w:ascii="Times New Roman" w:hAnsi="Times New Roman"/>
          <w:color w:val="000000"/>
          <w:sz w:val="24"/>
          <w:szCs w:val="24"/>
          <w:shd w:fill="FFFFFF" w:val="clear"/>
        </w:rPr>
        <w:t xml:space="preserve">Zajęcia dydaktyczne mają charakter wykładów, ćwiczeń, </w:t>
      </w:r>
      <w:r>
        <w:rPr>
          <w:rStyle w:val="Appleconvertedspace"/>
          <w:rFonts w:cs="Times New Roman" w:ascii="Times New Roman" w:hAnsi="Times New Roman"/>
          <w:sz w:val="24"/>
          <w:szCs w:val="24"/>
          <w:shd w:fill="FFFFFF" w:val="clear"/>
        </w:rPr>
        <w:t xml:space="preserve">laboratoriów, warsztatów i zajęć terenowych zgodnie z podanym planem studiów, który opracowano w oparciu o Rozporządzenie Ministra Środowiska z dnia 8 lutego 2018 r. w sprawie szacowania </w:t>
      </w:r>
      <w:r>
        <w:rPr>
          <w:rStyle w:val="Appleconvertedspace"/>
          <w:rFonts w:cs="Times New Roman" w:ascii="Times New Roman" w:hAnsi="Times New Roman"/>
          <w:color w:val="000000"/>
          <w:sz w:val="24"/>
          <w:szCs w:val="24"/>
          <w:shd w:fill="FFFFFF" w:val="clear"/>
        </w:rPr>
        <w:t>szkód wyrządzonych przez niektóre gatunki zwierząt objęte ochroną gatunkową Dz.U. 2018 poz. 645.</w:t>
      </w:r>
    </w:p>
    <w:p>
      <w:pPr>
        <w:pStyle w:val="ListParagraph"/>
        <w:numPr>
          <w:ilvl w:val="0"/>
          <w:numId w:val="1"/>
        </w:numPr>
        <w:spacing w:lineRule="auto" w:line="360" w:before="0" w:after="0"/>
        <w:contextualSpacing/>
        <w:jc w:val="both"/>
        <w:rPr>
          <w:rFonts w:ascii="Times New Roman" w:hAnsi="Times New Roman" w:cs="Times New Roman"/>
          <w:b/>
          <w:b/>
          <w:sz w:val="28"/>
          <w:szCs w:val="28"/>
        </w:rPr>
      </w:pPr>
      <w:r>
        <w:rPr>
          <w:rFonts w:cs="Times New Roman" w:ascii="Times New Roman" w:hAnsi="Times New Roman"/>
          <w:b/>
          <w:sz w:val="28"/>
          <w:szCs w:val="28"/>
        </w:rPr>
        <w:t>Szczególne warunki rekrutacji na studia</w:t>
      </w:r>
    </w:p>
    <w:p>
      <w:pPr>
        <w:pStyle w:val="Normal"/>
        <w:spacing w:lineRule="auto" w:line="360" w:before="0" w:after="0"/>
        <w:ind w:firstLine="360"/>
        <w:jc w:val="both"/>
        <w:rPr>
          <w:rFonts w:ascii="Times New Roman" w:hAnsi="Times New Roman" w:cs="Times New Roman"/>
          <w:sz w:val="24"/>
          <w:szCs w:val="24"/>
        </w:rPr>
      </w:pPr>
      <w:r>
        <w:rPr>
          <w:rFonts w:cs="Times New Roman" w:ascii="Times New Roman" w:hAnsi="Times New Roman"/>
          <w:sz w:val="24"/>
          <w:szCs w:val="24"/>
        </w:rPr>
        <w:t>Na studia zostaną przyjęte osoby w ramach limitu 30 miejsc, które posiadają dyplom ukończenia studiów licencjackich i/lub magisterskich.</w:t>
      </w:r>
    </w:p>
    <w:p>
      <w:pPr>
        <w:pStyle w:val="Normal"/>
        <w:spacing w:lineRule="auto" w:line="360" w:before="0" w:after="0"/>
        <w:jc w:val="both"/>
        <w:rPr/>
      </w:pPr>
      <w:r>
        <w:rPr>
          <w:rFonts w:cs="Times New Roman" w:ascii="Times New Roman" w:hAnsi="Times New Roman"/>
          <w:sz w:val="24"/>
          <w:szCs w:val="24"/>
        </w:rPr>
        <w:t xml:space="preserve">Kandydaci są zobligowani do złożenia podania na studia podyplomowe (formularz uczelniany, po zarejestrowaniu się, dostępny na stronie: </w:t>
      </w:r>
      <w:hyperlink r:id="rId2">
        <w:r>
          <w:rPr>
            <w:rStyle w:val="Style"/>
            <w:rFonts w:cs="Times New Roman" w:ascii="Times New Roman" w:hAnsi="Times New Roman"/>
            <w:sz w:val="24"/>
            <w:szCs w:val="24"/>
          </w:rPr>
          <w:t>http://rekrutacja.uz.zgora.pl/</w:t>
        </w:r>
      </w:hyperlink>
      <w:r>
        <w:rPr>
          <w:rFonts w:cs="Times New Roman" w:ascii="Times New Roman" w:hAnsi="Times New Roman"/>
          <w:sz w:val="24"/>
          <w:szCs w:val="24"/>
        </w:rPr>
        <w:t>) wraz z:</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kserokopią dowodu wniesienia opłaty rekrutacyjnej 85,00 zł </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dyplomem lub odpisem dyplomu studiów wyższych I stopnia (licencjackich lub inżynierskich) lub II – stopnia (magisterskich) lub studiów jednolitych magisterskich;</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zobowiązaniem do ponoszenia kosztów odpłatności za studia zgodnie z umową zawartą pomiędzy słuchaczem a uczelnią w chwili rozpoczęcia studiów.</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oryginał dowodu osobistego do okazania w Biurze Dziekana  WEiZ podczas składania dokumentów.</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Wyżej wymienione dokumenty należy dostarczyć osobiście lub przesłać pocztą na adres:</w:t>
      </w:r>
    </w:p>
    <w:p>
      <w:pPr>
        <w:pStyle w:val="Nagwek3"/>
        <w:spacing w:lineRule="auto" w:line="360"/>
        <w:rPr>
          <w:rFonts w:ascii="Times New Roman" w:hAnsi="Times New Roman"/>
          <w:szCs w:val="24"/>
        </w:rPr>
      </w:pPr>
      <w:r>
        <w:rPr>
          <w:rFonts w:ascii="Times New Roman" w:hAnsi="Times New Roman"/>
          <w:szCs w:val="24"/>
        </w:rPr>
        <w:t>Dziekanat Wydziału Ekonomii i Zarządzania, ul. Podgórna 50, 65-246 Zielona Góra.</w:t>
      </w:r>
    </w:p>
    <w:p>
      <w:pPr>
        <w:pStyle w:val="Normal"/>
        <w:rPr/>
      </w:pPr>
      <w:r>
        <w:rPr/>
      </w:r>
    </w:p>
    <w:p>
      <w:pPr>
        <w:pStyle w:val="ListParagraph"/>
        <w:numPr>
          <w:ilvl w:val="0"/>
          <w:numId w:val="1"/>
        </w:numPr>
        <w:spacing w:lineRule="auto" w:line="360" w:before="0" w:after="0"/>
        <w:contextualSpacing/>
        <w:rPr>
          <w:rFonts w:ascii="Times New Roman" w:hAnsi="Times New Roman" w:cs="Times New Roman"/>
          <w:b/>
          <w:b/>
          <w:sz w:val="28"/>
          <w:szCs w:val="28"/>
        </w:rPr>
      </w:pPr>
      <w:r>
        <w:rPr>
          <w:rFonts w:cs="Times New Roman" w:ascii="Times New Roman" w:hAnsi="Times New Roman"/>
          <w:b/>
          <w:sz w:val="28"/>
          <w:szCs w:val="28"/>
        </w:rPr>
        <w:t>Sylwetka absolwenta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Absolwenci zostaną wyposażeni w umiejętności praktyczne z zakresu ekonomii, zarządzania, prawa oraz leśnictwa, które stanowią podstawę do wykonywania zawodu rzeczoznawcy przygotowującego ekspertyzy na temat identyfikacji, szacowania i wyceny szkód w leśnictwie. Efektem studiów jest przygotowanie słuchaczy do samodzielnego szacowania strat rolnych spowodowanych zwierzyną łowną oraz współpracy z zaangażowanymi podmiotami, którym z mocy prawa przypisana jest odpowiedzialność odszkodowawcza. Zakłada się, iż absolwenci studiów podyplomowych uzyskają wiedzę, która będzie przydatna dla zapobiegania i rozwiązywania sytuacji konfliktowych, występujących na styku działalności gospodarczej i oczekiwań społecznych w zakresie ochrony. Studia umożliwiają zdobycie i pogłębienie wiedzy nie tylko z zakresu ekonomiki rolnictwa i leśnictwa, ale również z zakresu prawa, wyceny środowiskowej i wielu innych zagadnień przedstawionych w programie studiów. </w:t>
      </w:r>
    </w:p>
    <w:p>
      <w:pPr>
        <w:pStyle w:val="ListParagraph"/>
        <w:numPr>
          <w:ilvl w:val="0"/>
          <w:numId w:val="1"/>
        </w:numPr>
        <w:spacing w:lineRule="auto" w:line="360" w:before="0" w:after="0"/>
        <w:contextualSpacing/>
        <w:jc w:val="both"/>
        <w:rPr>
          <w:rFonts w:ascii="Times New Roman" w:hAnsi="Times New Roman" w:cs="Times New Roman"/>
          <w:b/>
          <w:b/>
          <w:sz w:val="28"/>
          <w:szCs w:val="28"/>
        </w:rPr>
      </w:pPr>
      <w:r>
        <w:rPr>
          <w:rFonts w:cs="Times New Roman" w:ascii="Times New Roman" w:hAnsi="Times New Roman"/>
          <w:b/>
          <w:sz w:val="28"/>
          <w:szCs w:val="28"/>
        </w:rPr>
        <w:t>Warunki ukończenia studiów</w:t>
      </w:r>
    </w:p>
    <w:p>
      <w:pPr>
        <w:pStyle w:val="Normal"/>
        <w:spacing w:lineRule="auto" w:line="360" w:before="0" w:after="0"/>
        <w:jc w:val="both"/>
        <w:rPr>
          <w:rFonts w:ascii="Times New Roman" w:hAnsi="Times New Roman" w:cs="Times New Roman"/>
          <w:color w:val="000000"/>
          <w:sz w:val="24"/>
          <w:szCs w:val="24"/>
          <w:highlight w:val="white"/>
        </w:rPr>
      </w:pPr>
      <w:r>
        <w:rPr>
          <w:rFonts w:cs="Times New Roman" w:ascii="Times New Roman" w:hAnsi="Times New Roman"/>
          <w:sz w:val="24"/>
          <w:szCs w:val="24"/>
        </w:rPr>
        <w:t>Warunkiem ukończenia studiów jest uzyskanie wymaganych zaliczeń z przedmiotów przewidzianych w programie studiów oraz spełnienie wymogów określonych w programie kształcenia, w tym uzyskanie odpowiedniej liczby punktów ECTS. Elementem finalizującym realizację programu studiów podyplomowych jest wykonanie projektu końcowego, który stanowi podstawę do zaliczenia seminarium. Uczestnik studiów podyplomowych uzyskuje świadectwo ukończenia studiów podyplomowych w zakresie wyceny i zarządzania szkodami leśnymi (od zwierząt łownych i chronionych).</w:t>
      </w:r>
    </w:p>
    <w:p>
      <w:pPr>
        <w:pStyle w:val="ListParagraph"/>
        <w:numPr>
          <w:ilvl w:val="0"/>
          <w:numId w:val="1"/>
        </w:numPr>
        <w:spacing w:lineRule="auto" w:line="360" w:before="0" w:after="0"/>
        <w:contextualSpacing/>
        <w:jc w:val="both"/>
        <w:rPr>
          <w:rFonts w:ascii="Times New Roman" w:hAnsi="Times New Roman" w:cs="Times New Roman"/>
          <w:b/>
          <w:b/>
          <w:sz w:val="28"/>
          <w:szCs w:val="28"/>
        </w:rPr>
      </w:pPr>
      <w:r>
        <w:rPr>
          <w:rFonts w:cs="Times New Roman" w:ascii="Times New Roman" w:hAnsi="Times New Roman"/>
          <w:b/>
          <w:sz w:val="28"/>
          <w:szCs w:val="28"/>
        </w:rPr>
        <w:t>Kierownik studiów</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Mgr Anna Gąsiorek-Kowalewicz – Katedra Ekonomii Międzynarodowej</w:t>
      </w:r>
    </w:p>
    <w:p>
      <w:pPr>
        <w:pStyle w:val="Normal"/>
        <w:spacing w:lineRule="auto" w:line="360" w:before="0" w:after="0"/>
        <w:jc w:val="both"/>
        <w:rPr/>
      </w:pPr>
      <w:r>
        <w:rPr>
          <w:rFonts w:cs="Times New Roman" w:ascii="Times New Roman" w:hAnsi="Times New Roman"/>
          <w:sz w:val="24"/>
          <w:szCs w:val="24"/>
          <w:lang w:val="de-DE"/>
        </w:rPr>
        <w:t xml:space="preserve">adres e-mail: </w:t>
      </w:r>
      <w:hyperlink r:id="rId3">
        <w:r>
          <w:rPr>
            <w:rStyle w:val="Czeinternetowe"/>
            <w:rFonts w:cs="Times New Roman" w:ascii="Times New Roman" w:hAnsi="Times New Roman"/>
            <w:sz w:val="24"/>
            <w:szCs w:val="24"/>
            <w:lang w:val="de-DE"/>
          </w:rPr>
          <w:t>a.kowalewicz@wez.uz.zgora.pl</w:t>
        </w:r>
      </w:hyperlink>
      <w:r>
        <w:rPr>
          <w:rFonts w:cs="Times New Roman" w:ascii="Times New Roman" w:hAnsi="Times New Roman"/>
          <w:sz w:val="24"/>
          <w:szCs w:val="24"/>
          <w:lang w:val="de-DE"/>
        </w:rPr>
        <w:t>; nr tel. 792927938</w:t>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tab/>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tab/>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BodyText2"/>
        <w:tabs>
          <w:tab w:val="clear" w:pos="708"/>
          <w:tab w:val="left" w:pos="2928" w:leader="none"/>
        </w:tabs>
        <w:spacing w:lineRule="auto" w:line="360"/>
        <w:jc w:val="left"/>
        <w:rPr>
          <w:rFonts w:ascii="Times New Roman" w:hAnsi="Times New Roman"/>
          <w:szCs w:val="24"/>
          <w:lang w:val="en-GB"/>
        </w:rPr>
      </w:pPr>
      <w:r>
        <w:rPr>
          <w:rFonts w:ascii="Times New Roman" w:hAnsi="Times New Roman"/>
          <w:szCs w:val="24"/>
          <w:lang w:val="en-GB"/>
        </w:rPr>
      </w:r>
    </w:p>
    <w:p>
      <w:pPr>
        <w:pStyle w:val="Normal"/>
        <w:spacing w:lineRule="auto" w:line="36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II. PROGRAM KSZTAŁCENIA STUDIÓW PODYPLOMOWYCH</w:t>
      </w:r>
    </w:p>
    <w:p>
      <w:pPr>
        <w:pStyle w:val="BodyText2"/>
        <w:spacing w:lineRule="auto" w:line="360"/>
        <w:rPr>
          <w:rFonts w:cs="Arial"/>
          <w:sz w:val="18"/>
          <w:szCs w:val="18"/>
        </w:rPr>
      </w:pPr>
      <w:r>
        <w:rPr>
          <w:rFonts w:eastAsia="Book Antiqua"/>
          <w:b/>
          <w:i/>
          <w:iCs/>
          <w:sz w:val="32"/>
        </w:rPr>
        <w:t>Szkody w gospodarstwach rolnych i ich szacowanie</w:t>
      </w:r>
      <w:r>
        <w:rPr>
          <w:rFonts w:cs="Arial"/>
          <w:sz w:val="18"/>
          <w:szCs w:val="18"/>
        </w:rPr>
        <w:t xml:space="preserve"> </w:t>
      </w:r>
    </w:p>
    <w:p>
      <w:pPr>
        <w:pStyle w:val="BodyText2"/>
        <w:spacing w:lineRule="auto" w:line="360"/>
        <w:rPr>
          <w:rFonts w:ascii="Times New Roman" w:hAnsi="Times New Roman"/>
          <w:szCs w:val="24"/>
        </w:rPr>
      </w:pPr>
      <w:r>
        <w:rPr>
          <w:rFonts w:ascii="Times New Roman" w:hAnsi="Times New Roman"/>
          <w:szCs w:val="24"/>
        </w:rPr>
        <w:t>Program studiów obejmuje 224</w:t>
      </w:r>
      <w:r>
        <w:rPr>
          <w:rFonts w:ascii="Times New Roman" w:hAnsi="Times New Roman"/>
          <w:color w:val="FF0000"/>
          <w:szCs w:val="24"/>
        </w:rPr>
        <w:t xml:space="preserve"> </w:t>
      </w:r>
      <w:r>
        <w:rPr>
          <w:rFonts w:ascii="Times New Roman" w:hAnsi="Times New Roman"/>
          <w:szCs w:val="24"/>
        </w:rPr>
        <w:t>godziny zajęć dydaktycznych (30 punktów ECTS) realizowane przez dwa semestry.</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b/>
          <w:b/>
          <w:color w:val="000000"/>
          <w:sz w:val="28"/>
          <w:szCs w:val="28"/>
        </w:rPr>
      </w:pPr>
      <w:r>
        <w:rPr>
          <w:rFonts w:eastAsia="Times New Roman" w:cs="Times New Roman" w:ascii="Times New Roman" w:hAnsi="Times New Roman"/>
          <w:b/>
          <w:sz w:val="28"/>
          <w:szCs w:val="28"/>
        </w:rPr>
        <w:t xml:space="preserve">I. Ekologia w leśnictwie i podstawy </w:t>
      </w:r>
      <w:r>
        <w:rPr>
          <w:rFonts w:eastAsia="Times New Roman" w:cs="Times New Roman" w:ascii="Times New Roman" w:hAnsi="Times New Roman"/>
          <w:b/>
          <w:color w:val="000000"/>
          <w:sz w:val="28"/>
          <w:szCs w:val="28"/>
        </w:rPr>
        <w:t>ochrony środowiska</w:t>
      </w:r>
    </w:p>
    <w:p>
      <w:pPr>
        <w:pStyle w:val="Normal"/>
        <w:spacing w:lineRule="auto" w:line="360" w:before="0" w:after="0"/>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Przedmiot </w:t>
      </w:r>
      <w:r>
        <w:rPr>
          <w:rFonts w:cs="Times New Roman" w:ascii="Times New Roman" w:hAnsi="Times New Roman"/>
          <w:b/>
          <w:i/>
          <w:sz w:val="24"/>
          <w:szCs w:val="24"/>
        </w:rPr>
        <w:t xml:space="preserve">Ekologia w leśnictwie i podstawy ochrony środowiska </w:t>
      </w:r>
      <w:r>
        <w:rPr>
          <w:rFonts w:cs="Times New Roman" w:ascii="Times New Roman" w:hAnsi="Times New Roman"/>
          <w:sz w:val="24"/>
          <w:szCs w:val="24"/>
        </w:rPr>
        <w:t xml:space="preserve">jest realizowany w semestrze pierwszym w wymiarze 20 godzin. Przypisana do niego liczba punktów ECTS wynosi 2.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 xml:space="preserve">Celem kształcenia jest zapoznanie studenta z podstawami ochrony środowiska ze szczególnym naciskiem na problemy związane z zagrożeniami ekosystemów leśnych i sąsiadujących z nimi ekosystemami pól i łąk. Student pozna też zagrożenia dla różnorodności gatunkowej w ekosystemach leśnych oraz pozna mechanizm związany z równowagą ekosystemu związaną z poziomem bioróżnorodności.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Słuchacze są zapoznawani z najważniejszymi zagrożeniami środowiska w skali  regionalnej i lokalnej oraz z zasadami funkcjonowania systemu ochrony środowiska w Polsce i UE. Nabywają umiejętności oceny skutków degradacji środowiska oraz korzystania z informacji o środowisku, a także dyskusji ze specjalistami ochrony środowiska.</w:t>
      </w:r>
    </w:p>
    <w:p>
      <w:pPr>
        <w:pStyle w:val="Normal"/>
        <w:spacing w:lineRule="auto" w:line="360" w:before="0" w:after="0"/>
        <w:jc w:val="both"/>
        <w:rPr/>
      </w:pPr>
      <w:r>
        <w:rPr>
          <w:rFonts w:cs="Times New Roman" w:ascii="Times New Roman" w:hAnsi="Times New Roman"/>
          <w:sz w:val="24"/>
          <w:szCs w:val="24"/>
        </w:rPr>
        <w:t>Słuchacz po skończonym kursie posiada umiejętności  analizy i oceny zagrożeń dla środowiska przyrodniczego związanego z eksploatacją zasobów leśnych oraz wyjaśniać zjawiska przyrodnicze i procesy zachodzące w ekosystemach. Nabywa umiejętności hierarchizowania celów służących do realizacji zadań związanych z ochroną drzewostanów przed działaniem czynników biotycznych i abiotycznych.  Rozpoznaje i ocenia szkody powodowane w wyniku niewłaściwego zagospodarowania lasu oraz eksploatacji zasobów leśnych.</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Potrafi korzystać z dostępnych źródeł informacji, w tym elektronicznych, dokonać właściwego ich doboru, oceny, krytycznej analizy i syntezy do rozwiązywania problemów dotyczących wpływu eksploatacji zasobów leśnych na strukturę i funkcjonowanie ekosystemu. Potrafi wskazać kierunki racjonalnego wykorzystywania zasobów leśnych, w oparciu o wiedzę ekologiczną oraz wdrażane tzw. dobre praktyki w leśnictwie. Potrafi zaproponować odpowiednie metody i techniki umożliwiające odnawianie utraconych zasobów i walorów przyrodniczych.</w:t>
      </w:r>
      <w:r>
        <w:rPr/>
        <w:t xml:space="preserve"> </w:t>
      </w:r>
    </w:p>
    <w:p>
      <w:pPr>
        <w:pStyle w:val="Normal"/>
        <w:spacing w:lineRule="auto" w:line="360" w:before="0" w:after="0"/>
        <w:ind w:firstLine="360"/>
        <w:jc w:val="both"/>
        <w:rPr>
          <w:rFonts w:ascii="Times New Roman" w:hAnsi="Times New Roman" w:cs="Times New Roman"/>
          <w:sz w:val="24"/>
          <w:szCs w:val="24"/>
        </w:rPr>
      </w:pPr>
      <w:r>
        <w:rPr>
          <w:rFonts w:cs="Times New Roman" w:ascii="Times New Roman" w:hAnsi="Times New Roman"/>
          <w:sz w:val="24"/>
          <w:szCs w:val="24"/>
        </w:rPr>
        <w:t>Słuchacz nabywa umiejętności analizy i oceny zjawisk i procesów przyrodniczych, diagnozowania stanu środowiska w aspekcie gospodarowania zasobami leśnymi i łowieckimi.</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left="360" w:hanging="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hd w:val="clear" w:color="auto" w:fill="FFFFFF"/>
        <w:spacing w:lineRule="auto" w:line="240" w:before="0" w:after="0"/>
        <w:ind w:left="360" w:hanging="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II. Gospodarka leśna</w:t>
      </w:r>
    </w:p>
    <w:p>
      <w:pPr>
        <w:pStyle w:val="Normal"/>
        <w:shd w:val="clear" w:color="auto" w:fill="FFFFFF"/>
        <w:spacing w:lineRule="auto" w:line="240" w:before="0" w:after="0"/>
        <w:ind w:left="360" w:hanging="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Celem przedmiotu</w:t>
      </w:r>
      <w:r>
        <w:rPr/>
        <w:t xml:space="preserve"> </w:t>
      </w:r>
      <w:r>
        <w:rPr>
          <w:rFonts w:eastAsia="Times New Roman" w:cs="Times New Roman" w:ascii="Times New Roman" w:hAnsi="Times New Roman"/>
          <w:b/>
          <w:i/>
          <w:color w:val="000000"/>
          <w:sz w:val="24"/>
          <w:szCs w:val="24"/>
        </w:rPr>
        <w:t xml:space="preserve">Gospodarka leśna </w:t>
      </w:r>
      <w:r>
        <w:rPr>
          <w:rFonts w:eastAsia="Times New Roman" w:cs="Times New Roman" w:ascii="Times New Roman" w:hAnsi="Times New Roman"/>
          <w:color w:val="000000"/>
          <w:sz w:val="24"/>
          <w:szCs w:val="24"/>
        </w:rPr>
        <w:t xml:space="preserve"> jest zapoznanie z ekonomicznymi mechanizmami realizacji gospodarki rolnej i leśnej. Przygotowanie absolwentów do współpracy z sektorem usług leśnych i innymi podmiotami działającymi w łańcuchu leśno-drzewnym. Moduł realizowany jest w pierwszym semestrze studiów w wymiarze 18 godzin podzielonych między wykłady i ćwiczenia praktyczne a przypisana mu liczba punktów ECTS wynosi 2.</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Wśród omawianych zagadnień znajdą się administracyjne, ekonomiczne, prawne i społeczne aspekty gospodarki leśnej. Naukowe i techniczne elementy leśnictwa. Zarys hodowli, ochrony, użytkowania i urządzania lasu. Studenci poznają metody wyceny pozaprodukcyjnych funkcji lasu (funkcje lasu oraz ich znaczenie dla rachunku ekonomicznego, wartość społeczna lasu, metoda względnej wartości użytkowej).</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Podczas zajęć student poznaje zagadnienia dotyczące ekonomicznej charakterystyki roli leśnictwa w gospodarce na szczeblu lokalnym oraz regionalnym. Poznaje związki przedsiębiorstwa rolnego i leśnego z otoczeniem. Zdobywa umiejętności  analizy i oceny przedsięwzięć gospodarczych w rolnictwie i leśnictwie. </w:t>
      </w:r>
    </w:p>
    <w:p>
      <w:pPr>
        <w:pStyle w:val="Normal"/>
        <w:shd w:val="clear" w:color="auto" w:fill="FFFFFF"/>
        <w:spacing w:lineRule="auto" w:line="360" w:before="0" w:after="0"/>
        <w:ind w:firstLine="709"/>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hd w:val="clear" w:color="auto" w:fill="FFFFFF"/>
        <w:spacing w:lineRule="auto" w:line="240" w:before="0" w:after="0"/>
        <w:ind w:left="360" w:hanging="0"/>
        <w:rPr>
          <w:rFonts w:ascii="Times New Roman" w:hAnsi="Times New Roman" w:eastAsia="Times New Roman" w:cs="Times New Roman"/>
          <w:b/>
          <w:b/>
          <w:sz w:val="28"/>
          <w:szCs w:val="28"/>
        </w:rPr>
      </w:pPr>
      <w:r>
        <w:rPr>
          <w:rFonts w:eastAsia="Times New Roman" w:cs="Times New Roman" w:ascii="Times New Roman" w:hAnsi="Times New Roman"/>
          <w:b/>
          <w:color w:val="000000"/>
          <w:sz w:val="28"/>
          <w:szCs w:val="28"/>
        </w:rPr>
        <w:t xml:space="preserve">III. </w:t>
      </w:r>
      <w:r>
        <w:rPr>
          <w:rFonts w:eastAsia="Times New Roman" w:cs="Times New Roman" w:ascii="Times New Roman" w:hAnsi="Times New Roman"/>
          <w:b/>
          <w:sz w:val="28"/>
          <w:szCs w:val="28"/>
        </w:rPr>
        <w:t>Prawo łowieckie</w:t>
      </w:r>
    </w:p>
    <w:p>
      <w:pPr>
        <w:pStyle w:val="Normal"/>
        <w:shd w:val="clear" w:color="auto" w:fill="FFFFFF"/>
        <w:spacing w:lineRule="auto" w:line="240" w:before="0" w:after="0"/>
        <w:ind w:left="360" w:hanging="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Celem przedmiotu </w:t>
      </w:r>
      <w:r>
        <w:rPr>
          <w:rFonts w:eastAsia="Times New Roman" w:cs="Times New Roman" w:ascii="Times New Roman" w:hAnsi="Times New Roman"/>
          <w:b/>
          <w:i/>
          <w:color w:val="000000"/>
          <w:sz w:val="24"/>
          <w:szCs w:val="24"/>
        </w:rPr>
        <w:t xml:space="preserve">Prawo łowieckie </w:t>
      </w:r>
      <w:r>
        <w:rPr>
          <w:rFonts w:eastAsia="Times New Roman" w:cs="Times New Roman" w:ascii="Times New Roman" w:hAnsi="Times New Roman"/>
          <w:color w:val="000000"/>
          <w:sz w:val="24"/>
          <w:szCs w:val="24"/>
        </w:rPr>
        <w:t xml:space="preserve">jest przedstawienie studentom podstawowych zasad, pojęć i instytucji prawa łowieckiego oraz przekazanie umiejętności posługiwania się instytucjami tego prawa przy interpretacji obowiązujących norm prawnych. </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Moduł realizowany jest w pierwszym semestrze studiów w wymiarze 20 godzin podzielonych między wykłady i ćwiczenia praktyczne a przypisana mu liczba punktów ECTS wynosi 3.</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Podczas zajęć zapoznają się również z rozwiązaniami prawnymi, których źródłem są zarówno regulacje ustawodawstwa europejskiego jak i prawa krajowego.</w:t>
        <w:br/>
        <w:t>Efektem kształcenia jest poznanie przez studentów rozwiązań prawnych dotyczących podstawowych zagadnień z zakresu prawa łowieckiego, zarówno o charakterze cywilistycznym jak i administracyjnym. Po zrealizowanym przedmiocie studenci nabędą wiedzę o rodzajach więzi społecznych podlegających normom prawa ochrony środowiska i występujących między nimi prawidłowościach oraz wiedzę pogłębioną w odniesieniu do prawa łowieckiego w aspekcie wertykalnym (w relacji do władz publicznych) oraz horyzontalnym (wzajemne uprawnienia i obowiązki oraz samoorganizacja w interesie ochrony środowiska).</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ind w:left="357"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IV. Elementy prawa cywilnego i administracyjnego</w:t>
      </w:r>
    </w:p>
    <w:p>
      <w:pPr>
        <w:pStyle w:val="Normal"/>
        <w:shd w:val="clear" w:color="auto" w:fill="FFFFFF"/>
        <w:spacing w:lineRule="auto" w:line="240" w:before="0" w:after="0"/>
        <w:ind w:left="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Celem przedmiotu jest przekazanie wiedzy teoretycznej i praktycznej z zakresu prawa cywilnego, rozumienie systematyki prawa cywilnego: części ogólnej, prawa zobowiązań i prawa rzeczowego. Rozumienie pojęcia szkody, odpowiedzialności deliktowej i kontraktowej.</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Zaznajomienie studenta z prawem administracyjnym jego instytucjami i terminologią, obowiązującą regulacją prawną z zakresu administracyjnego prawa ustrojowego i materialnego, a także ogólnymi elementami regulacji procesowej.</w:t>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Przedmiot realizowany w semestrze II w wymiarze 15 godzin. </w:t>
      </w:r>
    </w:p>
    <w:p>
      <w:pPr>
        <w:pStyle w:val="Normal"/>
        <w:shd w:val="clear" w:color="auto" w:fill="FFFFFF"/>
        <w:spacing w:lineRule="auto" w:line="240" w:before="0" w:after="0"/>
        <w:ind w:left="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V. Przyrodniczo-ekonomiczne aspekty szkód a gospodarka łowiecka</w:t>
      </w:r>
    </w:p>
    <w:p>
      <w:pPr>
        <w:pStyle w:val="Normal"/>
        <w:shd w:val="clear" w:color="auto" w:fill="FFFFFF"/>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pacing w:lineRule="auto" w:line="240" w:before="0" w:after="0"/>
        <w:ind w:left="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pacing w:lineRule="auto" w:line="36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Celem przedmiotu jest zapoznanie studenta z przyrodniczo-ekonomicznymi skutkami działalności człowieka w różnych obszarach. Dodatkowo celem przedmiotu jest wskazanie szczególnych typów dóbr chronionych oraz spełniających cechy środowiskowych dóbr publicznych, klubowych i zasobów wspólnych oraz ich znaczenie w zrównoważonym rozwoju. Zajęcia realizowane w semestrze II w wymiarze 15 godzin. Po zrealizowanym przedmiocie studenci będą potrafili określić znaczenie szkód środowiskowych dla gospodarki oraz wskazywać metody ich łagodzenia i zapobiegania. Studenci nabędą wiedzę z zakresu klasyfikacji dóbr w ekonomii oraz ich charakterystyki. Poznają koncepcję pełnej wartości ekonomicznej (TEV) i będą potrafić dokonać dezagregacji jej komponentów dla potrzeb środowiskowych.</w:t>
      </w:r>
    </w:p>
    <w:p>
      <w:pPr>
        <w:pStyle w:val="Efektyksztaceniaopis"/>
        <w:ind w:left="567" w:right="-2" w:hanging="0"/>
        <w:rPr/>
      </w:pPr>
      <w:r>
        <w:rPr/>
      </w:r>
    </w:p>
    <w:p>
      <w:pPr>
        <w:pStyle w:val="Normal"/>
        <w:shd w:val="clear" w:color="auto" w:fill="FFFFFF"/>
        <w:spacing w:lineRule="auto" w:line="240" w:before="0" w:after="0"/>
        <w:ind w:left="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pacing w:lineRule="auto" w:line="240" w:before="0" w:after="0"/>
        <w:ind w:left="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t>VI. Metody szacowania szkód, wycena odszkodowań</w:t>
      </w:r>
    </w:p>
    <w:p>
      <w:pPr>
        <w:pStyle w:val="Normal"/>
        <w:shd w:val="clear" w:color="auto" w:fill="FFFFFF"/>
        <w:spacing w:lineRule="auto" w:line="240" w:before="0" w:after="0"/>
        <w:ind w:left="360" w:hanging="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hd w:val="clear" w:color="auto" w:fill="FFFFFF"/>
        <w:spacing w:lineRule="auto" w:line="360" w:before="0" w:after="0"/>
        <w:ind w:firstLine="709"/>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Celem przedmiotu </w:t>
      </w:r>
      <w:r>
        <w:rPr>
          <w:rFonts w:cs="Times New Roman" w:ascii="Times New Roman" w:hAnsi="Times New Roman"/>
          <w:b/>
          <w:i/>
          <w:sz w:val="24"/>
          <w:szCs w:val="24"/>
          <w:shd w:fill="FFFFFF" w:val="clear"/>
        </w:rPr>
        <w:t xml:space="preserve">Metody szacowania szkód, wycena odszkodowań </w:t>
      </w:r>
      <w:r>
        <w:rPr>
          <w:rFonts w:cs="Times New Roman" w:ascii="Times New Roman" w:hAnsi="Times New Roman"/>
          <w:sz w:val="24"/>
          <w:szCs w:val="24"/>
          <w:shd w:fill="FFFFFF" w:val="clear"/>
        </w:rPr>
        <w:t>jest  zapoznanie studentów z wymaganiami funkcjonalnymi i formalnoprawnymi w procesie szacowania szkód rolnych i leśnych.</w:t>
      </w:r>
    </w:p>
    <w:p>
      <w:pPr>
        <w:pStyle w:val="Normal"/>
        <w:shd w:val="clear" w:color="auto" w:fill="FFFFFF"/>
        <w:spacing w:lineRule="auto" w:line="360" w:before="0" w:after="0"/>
        <w:ind w:firstLine="709"/>
        <w:jc w:val="both"/>
        <w:rPr>
          <w:rFonts w:ascii="Times New Roman" w:hAnsi="Times New Roman" w:cs="Times New Roman"/>
          <w:color w:val="FF0000"/>
          <w:sz w:val="24"/>
          <w:szCs w:val="24"/>
          <w:highlight w:val="white"/>
        </w:rPr>
      </w:pPr>
      <w:r>
        <w:rPr>
          <w:rFonts w:cs="Times New Roman" w:ascii="Times New Roman" w:hAnsi="Times New Roman"/>
          <w:sz w:val="24"/>
          <w:szCs w:val="24"/>
          <w:shd w:fill="FFFFFF" w:val="clear"/>
        </w:rPr>
        <w:t xml:space="preserve">Moduł ten realizowany jest w drugim semestrze studiów w wymiarze 20 godzin a przypisana do niego liczba punktów ECTS wynosi 4. Zajęcia realizowane będą w formie wykładów, wykorzystujących prezentacje multimedialne oraz  w formie ćwiczeń. </w:t>
      </w:r>
    </w:p>
    <w:p>
      <w:pPr>
        <w:pStyle w:val="Normal"/>
        <w:shd w:val="clear" w:color="auto" w:fill="FFFFFF"/>
        <w:spacing w:lineRule="auto" w:line="360" w:before="0" w:after="0"/>
        <w:ind w:firstLine="709"/>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Celem przedmiotu jest zapoznanie Słuchaczy z prawidłowym przebiegiem procesu szacowania szkód w rolnictwie. Podczas zajęć zostanie omówione  ustalenie strat jakościowych oraz ilościowych, jakie powstają w uprawach i płodach rolnych w wyniku żerowania i bytowania zwierząt łownych. Dodatkowo słuchacze zaznajomią się z odpowiedzialnością odszkodowawczą za szkody wyrządzone podczas wykonywania polowania. Podczas zajęć zostaną omówione uzyskiwane w wyniku szacowania wielkości tj. procent zniszczenia, powierzchnie zredukowane, rozmiar szkody, wydajność szacowanej uprawy, cena płodu rolnego</w:t>
      </w:r>
    </w:p>
    <w:p>
      <w:pPr>
        <w:pStyle w:val="Normal"/>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ind w:left="357"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t xml:space="preserve">VII. </w:t>
      </w:r>
      <w:bookmarkStart w:id="1" w:name="_Hlk146452316"/>
      <w:r>
        <w:rPr>
          <w:rFonts w:cs="Times New Roman" w:ascii="Times New Roman" w:hAnsi="Times New Roman"/>
          <w:b/>
          <w:sz w:val="28"/>
          <w:szCs w:val="28"/>
          <w:shd w:fill="FFFFFF" w:val="clear"/>
        </w:rPr>
        <w:t>Inwentaryzacja szkód rolnych i leśnych z wykorzystaniem danych pozyskanych z pokładu BSP</w:t>
      </w:r>
      <w:bookmarkEnd w:id="1"/>
    </w:p>
    <w:p>
      <w:pPr>
        <w:pStyle w:val="Normal"/>
        <w:shd w:val="clear" w:color="auto" w:fill="FFFFFF"/>
        <w:spacing w:lineRule="auto" w:line="240" w:before="0" w:after="0"/>
        <w:ind w:left="360" w:hanging="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Moduł</w:t>
      </w:r>
      <w:r>
        <w:rPr>
          <w:rFonts w:cs="Times New Roman" w:ascii="Times New Roman" w:hAnsi="Times New Roman"/>
          <w:i/>
          <w:sz w:val="24"/>
          <w:szCs w:val="24"/>
        </w:rPr>
        <w:t xml:space="preserve"> </w:t>
      </w:r>
      <w:r>
        <w:rPr>
          <w:rFonts w:cs="Times New Roman" w:ascii="Times New Roman" w:hAnsi="Times New Roman"/>
          <w:b/>
          <w:i/>
          <w:sz w:val="24"/>
          <w:szCs w:val="24"/>
        </w:rPr>
        <w:t xml:space="preserve">Inwentaryzacja szkód rolnych i leśnych z wykorzystaniem danych pozyskanych z pokładu BSP </w:t>
      </w:r>
      <w:r>
        <w:rPr>
          <w:rFonts w:cs="Times New Roman" w:ascii="Times New Roman" w:hAnsi="Times New Roman"/>
          <w:sz w:val="24"/>
          <w:szCs w:val="24"/>
        </w:rPr>
        <w:t xml:space="preserve">jest realizowany w semestrze pierwszym w wymiarze 16 godzin. Przypisana do niego liczba punktów ECTS wynosi 3. </w:t>
      </w:r>
    </w:p>
    <w:p>
      <w:pPr>
        <w:pStyle w:val="Normal"/>
        <w:shd w:val="clear" w:color="auto" w:fill="FFFFFF"/>
        <w:spacing w:lineRule="auto" w:line="360" w:before="0" w:after="0"/>
        <w:ind w:firstLine="708"/>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Celem kształcenia jest zapoznanie słuchaczy z praktycznymi zagadnieniami niezbędnymi przy wykonywaniu inwentaryzacji szkód leśnych i rolnych. Wśród zagadnień omawianych na zajęciach znajdą się m.in. rola dronów w procesie likwidacji szkód. Procedura wyceny szkód rolnych i leśnych. Specyfika szkód rolnych i leśnych. Rodzaje materiałów pozyskanych z pokładu BSP. Inspekcja czy inwentaryzacja. Przykłady raportów z inwentaryzacji.</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Słuchacz w wyniku przeprowadzonych zajęć nabywa wiedzę z zakresu metod i technik inwentaryzacji szkód rolnych i leśnych z wykorzystaniem danych pozyskanych z pokładu BSP. </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Uczestnik posiada umiejętność przygotowania dokumentacji z przeprowadzonej inwentaryzacji szkód rolnych i leśnych z wykorzystaniem danych pozyskanych z pokładu BSP.</w:t>
      </w:r>
    </w:p>
    <w:p>
      <w:pPr>
        <w:pStyle w:val="Normal"/>
        <w:shd w:val="clear" w:color="auto" w:fill="FFFFFF"/>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Student posiada kompetencje społeczne do współpracy ze zleceniodawcami, właścicielami nieruchomości oraz upraw rolnych i leśnych w zakresie realizowanych prac inwentaryzacyjnych.</w:t>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hd w:val="clear" w:color="auto" w:fill="FFFFFF"/>
        <w:spacing w:lineRule="auto" w:line="240" w:before="0" w:after="0"/>
        <w:rPr>
          <w:rFonts w:ascii="Times New Roman" w:hAnsi="Times New Roman" w:cs="Times New Roman"/>
          <w:b/>
          <w:b/>
          <w:sz w:val="28"/>
          <w:szCs w:val="28"/>
          <w:highlight w:val="white"/>
        </w:rPr>
      </w:pPr>
      <w:r>
        <w:rPr>
          <w:rFonts w:cs="Times New Roman" w:ascii="Times New Roman" w:hAnsi="Times New Roman"/>
          <w:b/>
          <w:sz w:val="28"/>
          <w:szCs w:val="28"/>
          <w:shd w:fill="FFFFFF" w:val="clear"/>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shd w:fill="FFFFFF" w:val="clear"/>
        </w:rPr>
        <w:t>VIII.</w:t>
      </w:r>
      <w:r>
        <w:rPr>
          <w:rFonts w:eastAsia="Times New Roman" w:cs="Times New Roman" w:ascii="Times New Roman" w:hAnsi="Times New Roman"/>
          <w:b/>
          <w:sz w:val="28"/>
          <w:szCs w:val="28"/>
        </w:rPr>
        <w:t xml:space="preserve"> Ekonomika produkcji rolnej i leśnej</w:t>
      </w:r>
    </w:p>
    <w:p>
      <w:pPr>
        <w:pStyle w:val="Normal"/>
        <w:spacing w:lineRule="auto" w:line="240" w:before="0" w:after="0"/>
        <w:ind w:left="360"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Moduł</w:t>
      </w:r>
      <w:r>
        <w:rPr>
          <w:rFonts w:cs="Times New Roman" w:ascii="Times New Roman" w:hAnsi="Times New Roman"/>
          <w:i/>
          <w:sz w:val="24"/>
          <w:szCs w:val="24"/>
        </w:rPr>
        <w:t xml:space="preserve"> </w:t>
      </w:r>
      <w:r>
        <w:rPr>
          <w:rFonts w:cs="Times New Roman" w:ascii="Times New Roman" w:hAnsi="Times New Roman"/>
          <w:b/>
          <w:i/>
          <w:sz w:val="24"/>
          <w:szCs w:val="24"/>
        </w:rPr>
        <w:t xml:space="preserve">Ekonomika produkcji rolnej i leśnej </w:t>
      </w:r>
      <w:r>
        <w:rPr>
          <w:rFonts w:cs="Times New Roman" w:ascii="Times New Roman" w:hAnsi="Times New Roman"/>
          <w:sz w:val="24"/>
          <w:szCs w:val="24"/>
        </w:rPr>
        <w:t xml:space="preserve">jest realizowany w semestrze pierwszym w wymiarze 15 godzin. Przypisana do niego liczba punktów ECTS wynosi 2.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Celem modułu jest zapoznanie z ekonomicznymi mechanizmami realizacji gospodarki rolnej i leśnej. Zajęcia mają również na celu przedstawienie podstawowych pojęć z zakresu ekonomiki rolnictwa i leśnictwa.</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eastAsia="Times New Roman" w:cs="Times New Roman" w:ascii="Times New Roman" w:hAnsi="Times New Roman"/>
          <w:sz w:val="24"/>
          <w:szCs w:val="24"/>
        </w:rPr>
        <w:t xml:space="preserve">W procesie dydaktycznym następuje poznanie wiedzy z zakresu </w:t>
      </w:r>
      <w:r>
        <w:rPr>
          <w:rFonts w:cs="Times New Roman" w:ascii="Times New Roman" w:hAnsi="Times New Roman"/>
          <w:sz w:val="24"/>
          <w:szCs w:val="24"/>
        </w:rPr>
        <w:t xml:space="preserve">metod liczenia kategorii produkcji, kosztów i dochodów. Zaznajomienie z podstawowymi działami i gałęziami w produkcji rolniczej i leśnej.  </w:t>
      </w:r>
      <w:r>
        <w:rPr>
          <w:rFonts w:eastAsia="Times New Roman" w:cs="Times New Roman" w:ascii="Times New Roman" w:hAnsi="Times New Roman"/>
          <w:sz w:val="24"/>
          <w:szCs w:val="24"/>
        </w:rPr>
        <w:t>Studenci zostaną wyposażeni w wiedzę dotyczącą ekonomicznych podstaw wyceny wartości w gospodarstwie rolniczym i leśnym</w:t>
      </w:r>
    </w:p>
    <w:p>
      <w:pPr>
        <w:pStyle w:val="Normal"/>
        <w:spacing w:lineRule="auto" w:line="360" w:before="0" w:after="0"/>
        <w:ind w:firstLine="708"/>
        <w:jc w:val="both"/>
        <w:rPr>
          <w:rFonts w:ascii="Times New Roman" w:hAnsi="Times New Roman" w:eastAsia="Times New Roman" w:cs="Times New Roman"/>
          <w:sz w:val="24"/>
          <w:szCs w:val="24"/>
        </w:rPr>
      </w:pPr>
      <w:r>
        <w:rPr>
          <w:rFonts w:cs="Times New Roman" w:ascii="Times New Roman" w:hAnsi="Times New Roman"/>
          <w:sz w:val="24"/>
          <w:szCs w:val="24"/>
        </w:rPr>
        <w:t>W trakcie zajęć studenci zostaną zapoznani z wiedzą z zakresu ekonomiki leśnictwa, prywatyzacji działalności gospodarczej nadleśnictw oraz wartościowania zasobów leśnych.</w:t>
      </w:r>
      <w:r>
        <w:rPr>
          <w:rFonts w:eastAsia="Times New Roman" w:cs="Times New Roman" w:ascii="Times New Roman" w:hAnsi="Times New Roman"/>
          <w:sz w:val="24"/>
          <w:szCs w:val="24"/>
        </w:rPr>
        <w:t xml:space="preserve">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Słuchacz w wyniku przeprowadzonych zajęć ma świadomość wpływu gospodarki leśnej na ekonomiczny i społeczny rozwój obszarów wiejskich, zna zasady zrównoważonego rozwoju wielofunkcyjnej gospodarki leśnej,  ma podstawową wiedzę dotyczącą procesu produkcji leśnej, sektora leśno-drzewnego, funkcji lasu, handlu i marketingu leśnego umie analizować i wartościować zasoby leśne, ma wiedzę o funkcjonowaniu sektora usług leśnych i jego współpracy z Państwowym Gospodarstwem Leśnym Lasy Państwowe.</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IX. Ubezpieczenie upraw od dzikich zwierząt</w:t>
      </w:r>
    </w:p>
    <w:p>
      <w:pPr>
        <w:pStyle w:val="Normal"/>
        <w:spacing w:lineRule="auto" w:line="240" w:before="0" w:after="0"/>
        <w:ind w:left="360"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ind w:firstLine="708"/>
        <w:jc w:val="both"/>
        <w:rPr>
          <w:rFonts w:ascii="Times New Roman" w:hAnsi="Times New Roman" w:eastAsia="Times New Roman" w:cs="Times New Roman"/>
          <w:sz w:val="24"/>
          <w:szCs w:val="24"/>
        </w:rPr>
      </w:pPr>
      <w:r>
        <w:rPr>
          <w:rFonts w:cs="Times New Roman" w:ascii="Times New Roman" w:hAnsi="Times New Roman"/>
          <w:sz w:val="24"/>
          <w:szCs w:val="24"/>
        </w:rPr>
        <w:t xml:space="preserve">Przedmiot </w:t>
      </w:r>
      <w:r>
        <w:rPr>
          <w:rFonts w:cs="Times New Roman" w:ascii="Times New Roman" w:hAnsi="Times New Roman"/>
          <w:b/>
          <w:i/>
          <w:sz w:val="24"/>
          <w:szCs w:val="24"/>
        </w:rPr>
        <w:t xml:space="preserve">Ubezpieczenie upraw od dzikich zwierząt </w:t>
      </w:r>
      <w:r>
        <w:rPr>
          <w:rFonts w:cs="Times New Roman" w:ascii="Times New Roman" w:hAnsi="Times New Roman"/>
          <w:sz w:val="24"/>
          <w:szCs w:val="24"/>
        </w:rPr>
        <w:t xml:space="preserve">jest realizowany w semestrze </w:t>
      </w:r>
      <w:r>
        <w:rPr>
          <w:rFonts w:eastAsia="Times New Roman" w:cs="Times New Roman" w:ascii="Times New Roman" w:hAnsi="Times New Roman"/>
          <w:sz w:val="24"/>
          <w:szCs w:val="24"/>
        </w:rPr>
        <w:t xml:space="preserve">drugim w wymiarze 10 godzin. Przypisana do niego liczba punktów ECTS wynosi 1.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Celem przedmiotu jest przedstawienie idei i zastosowania mechanizmu ubezpieczeń oraz produktów ubezpieczeniowych w rolnictwie. Przedmiot jest zorientowany na przedstawienie podstawowych zagadnień, problematyki ubezpieczeń rolnych, zasad i postulatów ubezpieczeń rolnych. W trakcie realizacji modułu student kształtuje przekonanie o znacznej specyfice realizacji ubezpieczeń dla sfery agro. Student poznaje podstawy wdrażania ubezpieczeń obowiązkowych dobrowolnych oraz zaznajamia się z podstawowymi produktami ubezpieczeniowymi w pokrywaniu skutków zdarzeń w gospodarstwach rolnych, zwłaszcza spowodowanymi zwierzętami łownymi oraz nabywa umiejętności oceny programów ubezpieczeniowych stosowanych w odniesieniu do rolnictwa.</w:t>
      </w:r>
    </w:p>
    <w:p>
      <w:pPr>
        <w:pStyle w:val="Normal"/>
        <w:spacing w:lineRule="auto" w:line="360" w:before="0" w:after="0"/>
        <w:ind w:firstLine="360"/>
        <w:jc w:val="both"/>
        <w:rPr/>
      </w:pPr>
      <w:r>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X. Strategie i techniki negocjacji oraz rozwiązywania konfliktów</w:t>
      </w:r>
    </w:p>
    <w:p>
      <w:pPr>
        <w:pStyle w:val="Normal"/>
        <w:spacing w:lineRule="auto" w:line="240" w:before="0" w:after="0"/>
        <w:ind w:left="360"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ind w:left="360" w:hanging="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Przedmiot </w:t>
      </w:r>
      <w:r>
        <w:rPr>
          <w:rFonts w:cs="Times New Roman" w:ascii="Times New Roman" w:hAnsi="Times New Roman"/>
          <w:b/>
          <w:i/>
          <w:sz w:val="24"/>
          <w:szCs w:val="24"/>
        </w:rPr>
        <w:t xml:space="preserve">Strategie i techniki negocjacji oraz rozwiązywania konfliktów </w:t>
      </w:r>
      <w:r>
        <w:rPr>
          <w:rFonts w:cs="Times New Roman" w:ascii="Times New Roman" w:hAnsi="Times New Roman"/>
          <w:sz w:val="24"/>
          <w:szCs w:val="24"/>
        </w:rPr>
        <w:t xml:space="preserve">jest realizowany w semestrze drugim w wymiarze 15 godzin. Przypisana do niego liczba punktów ECTS wynosi 2.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Łączenie funkcji lasu w tym samym miejscu i czasie powoduje utrudnienia w podejmowaniu decyzji gospodarczych i wymaga obszernej wiedzy w wypracowaniu kompromisu pomiędzy produkcją drewna, gospodarką łowną a potrzebami społecznymi i funkcjami ekologicznymi. Celem jest uświadomienie studentom że gospodarka leśna i łowiecka nie może funkcjonować jako układ zamknięty, ale musi uwzględniać zewnętrzne warunki, co rodzi często problemy i konflikty.</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Głównym celem przedmiotu jest zapoznanie studentów z psychologicznymi uwarunkowaniami skuteczności negocjacji i mediacji (takimi jak: przezwyciężanie barier komunikacyjnych, przygotowanie do procesu negocjacji, wybór sposobu argumentowania). Studenci nabędą wiedzę o procedurach prowadzenia negocjacji i mediacji oraz rozwiną  umiejętność ich zastosowania w rozwiązywaniu konfliktów. Podczas zajęć są prezentowane zagadnienia związane z przedstawieniem: funkcji konfliktów, opanowywaniem sporów – metodyką działań w sytuacji konfliktowej (negocjacje, mediacje, arbitraż sąd). Studenci zaznajomią się z technikami komunikacyjnymi służącymi neutralizowaniu konfliktu i budowaniu współpracy.</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XI.  Biologia zwierząt łownych</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Przedmiot Biologia zwierząt łownych realizowany jest w semestrze I w wymiarze 30 godzin- 4 pkt ECTS. Celem kształcenia jest zapoznanie studenta z podstawami biologii, w tym ekologii zwierząt łownych w Polsce. Student pozna najważniejsze cechy pozwalające na oznaczanie zwierząt łownych. Zapozna się z rozmieszczeniem geograficznym populacji, statusem populacji, preferencjami siedliskowymi i problematyką związaną ze znaczeniem ekologicznym gatunków łownych. Student pozna wybrane gatunki chronione, które niegdyś objęte były gospodarką łowiecką oraz ich znaczenie w ekosystemach. Student pozna przykłady gatunków wymarłych w faunie Polski oraz gatunki obce związane z gospodarką łowiecką.</w:t>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both"/>
        <w:rPr>
          <w:rFonts w:ascii="Times New Roman" w:hAnsi="Times New Roman" w:eastAsia="Times New Roman" w:cs="Times New Roman"/>
          <w:b/>
          <w:b/>
          <w:color w:val="FF0000"/>
          <w:sz w:val="32"/>
          <w:szCs w:val="32"/>
        </w:rPr>
      </w:pPr>
      <w:r>
        <w:rPr>
          <w:rFonts w:eastAsia="Times New Roman" w:cs="Times New Roman" w:ascii="Times New Roman" w:hAnsi="Times New Roman"/>
          <w:b/>
          <w:sz w:val="28"/>
          <w:szCs w:val="28"/>
        </w:rPr>
        <w:t xml:space="preserve">XII. </w:t>
      </w:r>
      <w:r>
        <w:rPr>
          <w:rFonts w:eastAsia="Times New Roman" w:cs="Times New Roman" w:ascii="Times New Roman" w:hAnsi="Times New Roman"/>
          <w:b/>
          <w:color w:val="FF0000"/>
          <w:sz w:val="28"/>
          <w:szCs w:val="28"/>
        </w:rPr>
        <w:t>Seminarium / Projekt</w:t>
      </w:r>
    </w:p>
    <w:p>
      <w:pPr>
        <w:pStyle w:val="Normal"/>
        <w:spacing w:lineRule="auto" w:line="240" w:before="0" w:after="0"/>
        <w:ind w:left="36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ind w:firstLine="709"/>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Celem </w:t>
      </w:r>
      <w:r>
        <w:rPr>
          <w:rFonts w:cs="Times New Roman" w:ascii="Times New Roman" w:hAnsi="Times New Roman"/>
          <w:b/>
          <w:i/>
          <w:sz w:val="24"/>
          <w:szCs w:val="24"/>
          <w:shd w:fill="FFFFFF" w:val="clear"/>
        </w:rPr>
        <w:t>Seminarium</w:t>
      </w:r>
      <w:r>
        <w:rPr>
          <w:rFonts w:cs="Times New Roman" w:ascii="Times New Roman" w:hAnsi="Times New Roman"/>
          <w:sz w:val="24"/>
          <w:szCs w:val="24"/>
          <w:shd w:fill="FFFFFF" w:val="clear"/>
        </w:rPr>
        <w:t xml:space="preserve"> jest po pierwsze – uściślenie zainteresowań naukowych studentów (nakreślenie granic obszaru badawczego) w odniesieniu do ich przyszłej pracy końcowej. Odbywać się to będzie w drodze prezentacji przez studentów przedmiotu swoich poszukiwań naukowych, a następnie krytycznej dyskusji nad nim. Drugim celem jest wypracowanie koncepcji danej pracy – tematu i struktury. Student powinien umieć przedstawić temat swojej pracy i zarysować jej strukturę, prezentując jednocześnie przyjętą przez siebie metodologię. Dyskusja towarzysząca temu etapowi powinna dotyczyć przedmiotu pracy, a także zaproponowanej metody rozwiązania danego problemu badawczego. Trzecim celem seminarium jest pisanie pracy końcowej i jej publiczna prezentacja.</w:t>
      </w:r>
    </w:p>
    <w:p>
      <w:pPr>
        <w:pStyle w:val="Normal"/>
        <w:spacing w:lineRule="auto" w:line="36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4"/>
          <w:shd w:fill="FFFFFF" w:val="clear"/>
        </w:rPr>
        <w:t>Moduł jest realizowany</w:t>
      </w:r>
      <w:r>
        <w:rPr>
          <w:rFonts w:eastAsia="DejaVuSans" w:cs="Times New Roman" w:ascii="Times New Roman" w:hAnsi="Times New Roman"/>
          <w:iCs/>
          <w:sz w:val="24"/>
          <w:szCs w:val="24"/>
        </w:rPr>
        <w:t xml:space="preserve"> w semestrze drugim w wymiarze 30 godzin i przypisana do niego liczba punktów ECTS wynosi 3.  </w:t>
      </w:r>
    </w:p>
    <w:p>
      <w:pPr>
        <w:pStyle w:val="Normal"/>
        <w:spacing w:lineRule="auto" w:line="240" w:before="0" w:after="0"/>
        <w:ind w:left="360" w:hanging="0"/>
        <w:jc w:val="both"/>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p>
      <w:pPr>
        <w:pStyle w:val="Normal"/>
        <w:spacing w:lineRule="auto" w:line="240" w:before="0" w:after="0"/>
        <w:ind w:left="36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ind w:firstLine="709"/>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r>
    </w:p>
    <w:p>
      <w:pPr>
        <w:pStyle w:val="Normal"/>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r>
    </w:p>
    <w:p>
      <w:pPr>
        <w:pStyle w:val="Normal"/>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r>
    </w:p>
    <w:p>
      <w:pPr>
        <w:pStyle w:val="Normal"/>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r>
    </w:p>
    <w:p>
      <w:pPr>
        <w:pStyle w:val="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r>
        <w:br w:type="page"/>
      </w:r>
    </w:p>
    <w:p>
      <w:pPr>
        <w:pStyle w:val="Normal"/>
        <w:rPr/>
      </w:pPr>
      <w:r>
        <w:rPr>
          <w:rFonts w:eastAsia="Times New Roman" w:cs="Times New Roman" w:ascii="Times New Roman" w:hAnsi="Times New Roman"/>
          <w:b/>
          <w:sz w:val="28"/>
          <w:szCs w:val="28"/>
        </w:rPr>
        <w:t>III. PLAN STUDIÓW Z ROZŁOŻENIEM NA SEMESTRY</w:t>
      </w:r>
    </w:p>
    <w:tbl>
      <w:tblPr>
        <w:tblW w:w="9981" w:type="dxa"/>
        <w:jc w:val="left"/>
        <w:tblInd w:w="-923" w:type="dxa"/>
        <w:tblCellMar>
          <w:top w:w="0" w:type="dxa"/>
          <w:left w:w="70" w:type="dxa"/>
          <w:bottom w:w="0" w:type="dxa"/>
          <w:right w:w="70" w:type="dxa"/>
        </w:tblCellMar>
        <w:tblLook w:firstRow="1" w:noVBand="1" w:lastRow="0" w:firstColumn="1" w:lastColumn="0" w:noHBand="0" w:val="04a0"/>
      </w:tblPr>
      <w:tblGrid>
        <w:gridCol w:w="3516"/>
        <w:gridCol w:w="823"/>
        <w:gridCol w:w="730"/>
        <w:gridCol w:w="607"/>
        <w:gridCol w:w="429"/>
        <w:gridCol w:w="817"/>
        <w:gridCol w:w="540"/>
        <w:gridCol w:w="786"/>
        <w:gridCol w:w="904"/>
        <w:gridCol w:w="828"/>
      </w:tblGrid>
      <w:tr>
        <w:trPr>
          <w:trHeight w:val="456" w:hRule="atLeast"/>
        </w:trPr>
        <w:tc>
          <w:tcPr>
            <w:tcW w:w="3516" w:type="dxa"/>
            <w:vMerge w:val="restart"/>
            <w:tcBorders>
              <w:top w:val="single" w:sz="8" w:space="0" w:color="808080"/>
              <w:left w:val="single" w:sz="8" w:space="0" w:color="808080"/>
              <w:bottom w:val="single" w:sz="4" w:space="0" w:color="808080"/>
              <w:right w:val="single" w:sz="8"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Nazwa przedmiotu</w:t>
            </w:r>
          </w:p>
        </w:tc>
        <w:tc>
          <w:tcPr>
            <w:tcW w:w="823" w:type="dxa"/>
            <w:vMerge w:val="restart"/>
            <w:tcBorders>
              <w:top w:val="single" w:sz="8" w:space="0" w:color="808080"/>
              <w:left w:val="single" w:sz="8" w:space="0" w:color="808080"/>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xml:space="preserve">forma zal. </w:t>
            </w:r>
          </w:p>
        </w:tc>
        <w:tc>
          <w:tcPr>
            <w:tcW w:w="3909" w:type="dxa"/>
            <w:gridSpan w:val="6"/>
            <w:tcBorders>
              <w:top w:val="single" w:sz="8" w:space="0" w:color="808080"/>
              <w:bottom w:val="single" w:sz="4" w:space="0" w:color="808080"/>
            </w:tcBorders>
            <w:shd w:color="000000" w:fill="C0C0C0" w:val="clea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Liczba godzin</w:t>
            </w:r>
          </w:p>
        </w:tc>
        <w:tc>
          <w:tcPr>
            <w:tcW w:w="904" w:type="dxa"/>
            <w:vMerge w:val="restart"/>
            <w:tcBorders>
              <w:top w:val="single" w:sz="8" w:space="0" w:color="808080"/>
              <w:left w:val="single" w:sz="4" w:space="0" w:color="808080"/>
              <w:bottom w:val="single" w:sz="8"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pkt. ECTS</w:t>
            </w:r>
          </w:p>
        </w:tc>
        <w:tc>
          <w:tcPr>
            <w:tcW w:w="828" w:type="dxa"/>
            <w:vMerge w:val="restart"/>
            <w:tcBorders>
              <w:top w:val="single" w:sz="4" w:space="0" w:color="000000"/>
              <w:left w:val="single" w:sz="4" w:space="0" w:color="000000"/>
              <w:bottom w:val="single" w:sz="4" w:space="0" w:color="000000"/>
              <w:right w:val="single" w:sz="4" w:space="0" w:color="00000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Semestr</w:t>
            </w:r>
          </w:p>
        </w:tc>
      </w:tr>
      <w:tr>
        <w:trPr>
          <w:trHeight w:val="262" w:hRule="atLeast"/>
        </w:trPr>
        <w:tc>
          <w:tcPr>
            <w:tcW w:w="3516" w:type="dxa"/>
            <w:vMerge w:val="continue"/>
            <w:tcBorders>
              <w:top w:val="single" w:sz="8" w:space="0" w:color="808080"/>
              <w:left w:val="single" w:sz="8" w:space="0" w:color="808080"/>
              <w:bottom w:val="single" w:sz="4" w:space="0" w:color="808080"/>
              <w:right w:val="single" w:sz="8" w:space="0" w:color="808080"/>
            </w:tcBorders>
            <w:shd w:fill="auto" w:val="clear"/>
            <w:vAlign w:val="center"/>
          </w:tcPr>
          <w:p>
            <w:pPr>
              <w:pStyle w:val="Normal"/>
              <w:spacing w:before="0" w:after="200"/>
              <w:rPr>
                <w:rFonts w:ascii="Times New Roman" w:hAnsi="Times New Roman" w:cs="Times New Roman"/>
                <w:b/>
                <w:b/>
                <w:bCs/>
                <w:sz w:val="20"/>
                <w:szCs w:val="20"/>
              </w:rPr>
            </w:pPr>
            <w:r>
              <w:rPr>
                <w:rFonts w:cs="Times New Roman" w:ascii="Times New Roman" w:hAnsi="Times New Roman"/>
                <w:b/>
                <w:bCs/>
                <w:sz w:val="20"/>
                <w:szCs w:val="20"/>
              </w:rPr>
            </w:r>
          </w:p>
        </w:tc>
        <w:tc>
          <w:tcPr>
            <w:tcW w:w="823" w:type="dxa"/>
            <w:vMerge w:val="continue"/>
            <w:tcBorders>
              <w:top w:val="single" w:sz="8" w:space="0" w:color="808080"/>
              <w:left w:val="single" w:sz="8" w:space="0" w:color="808080"/>
              <w:bottom w:val="single" w:sz="8" w:space="0" w:color="808080"/>
              <w:right w:val="single" w:sz="4" w:space="0" w:color="808080"/>
            </w:tcBorders>
            <w:shd w:fill="auto" w:val="clear"/>
            <w:vAlign w:val="center"/>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r>
          </w:p>
        </w:tc>
        <w:tc>
          <w:tcPr>
            <w:tcW w:w="730"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Razem</w:t>
            </w:r>
          </w:p>
        </w:tc>
        <w:tc>
          <w:tcPr>
            <w:tcW w:w="607"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Wyk</w:t>
            </w:r>
            <w:r>
              <w:rPr>
                <w:rFonts w:ascii="Times New Roman" w:hAnsi="Times New Roman"/>
                <w:b/>
                <w:bCs/>
                <w:szCs w:val="20"/>
              </w:rPr>
              <w:t>.</w:t>
            </w:r>
          </w:p>
        </w:tc>
        <w:tc>
          <w:tcPr>
            <w:tcW w:w="429"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Ćw</w:t>
            </w:r>
          </w:p>
        </w:tc>
        <w:tc>
          <w:tcPr>
            <w:tcW w:w="817"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Warszt</w:t>
            </w:r>
            <w:r>
              <w:rPr>
                <w:rFonts w:ascii="Times New Roman" w:hAnsi="Times New Roman"/>
                <w:b/>
                <w:bCs/>
                <w:szCs w:val="20"/>
              </w:rPr>
              <w:t>.</w:t>
            </w:r>
          </w:p>
        </w:tc>
        <w:tc>
          <w:tcPr>
            <w:tcW w:w="540"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Lab</w:t>
            </w:r>
            <w:r>
              <w:rPr>
                <w:rFonts w:ascii="Times New Roman" w:hAnsi="Times New Roman"/>
                <w:b/>
                <w:bCs/>
                <w:szCs w:val="20"/>
              </w:rPr>
              <w:t>.</w:t>
            </w:r>
          </w:p>
        </w:tc>
        <w:tc>
          <w:tcPr>
            <w:tcW w:w="786" w:type="dxa"/>
            <w:tcBorders>
              <w:bottom w:val="single" w:sz="8"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Projekt</w:t>
            </w:r>
          </w:p>
        </w:tc>
        <w:tc>
          <w:tcPr>
            <w:tcW w:w="904" w:type="dxa"/>
            <w:vMerge w:val="continue"/>
            <w:tcBorders>
              <w:top w:val="single" w:sz="8" w:space="0" w:color="808080"/>
              <w:left w:val="single" w:sz="4" w:space="0" w:color="808080"/>
              <w:bottom w:val="single" w:sz="8" w:space="0" w:color="808080"/>
            </w:tcBorders>
            <w:shd w:fill="auto" w:val="clear"/>
            <w:vAlign w:val="center"/>
          </w:tcPr>
          <w:p>
            <w:pPr>
              <w:pStyle w:val="Normal"/>
              <w:spacing w:before="0" w:after="200"/>
              <w:rPr>
                <w:rFonts w:ascii="Times New Roman" w:hAnsi="Times New Roman" w:cs="Times New Roman"/>
                <w:b/>
                <w:b/>
                <w:bCs/>
                <w:sz w:val="20"/>
                <w:szCs w:val="20"/>
              </w:rPr>
            </w:pPr>
            <w:r>
              <w:rPr>
                <w:rFonts w:cs="Times New Roman" w:ascii="Times New Roman" w:hAnsi="Times New Roman"/>
                <w:b/>
                <w:bCs/>
                <w:sz w:val="20"/>
                <w:szCs w:val="20"/>
              </w:rPr>
            </w:r>
          </w:p>
        </w:tc>
        <w:tc>
          <w:tcPr>
            <w:tcW w:w="8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Times New Roman" w:hAnsi="Times New Roman" w:cs="Times New Roman"/>
                <w:b/>
                <w:b/>
                <w:bCs/>
                <w:sz w:val="20"/>
                <w:szCs w:val="20"/>
              </w:rPr>
            </w:pPr>
            <w:r>
              <w:rPr>
                <w:rFonts w:cs="Times New Roman" w:ascii="Times New Roman" w:hAnsi="Times New Roman"/>
                <w:b/>
                <w:bCs/>
                <w:sz w:val="20"/>
                <w:szCs w:val="20"/>
              </w:rPr>
            </w:r>
          </w:p>
        </w:tc>
      </w:tr>
      <w:tr>
        <w:trPr>
          <w:trHeight w:val="612"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Ekologia w leśnictwie i podstawy ochrony środowiska </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20</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w:t>
            </w:r>
          </w:p>
        </w:tc>
        <w:tc>
          <w:tcPr>
            <w:tcW w:w="828" w:type="dxa"/>
            <w:tcBorders>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w:t>
            </w:r>
          </w:p>
        </w:tc>
      </w:tr>
      <w:tr>
        <w:trPr>
          <w:trHeight w:val="598"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Gospodarka leśna</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18</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8</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w:t>
            </w:r>
          </w:p>
        </w:tc>
        <w:tc>
          <w:tcPr>
            <w:tcW w:w="828" w:type="dxa"/>
            <w:tcBorders>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w:t>
            </w:r>
          </w:p>
        </w:tc>
      </w:tr>
      <w:tr>
        <w:trPr>
          <w:trHeight w:val="598"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Prawo łowieckie </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20</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w:t>
            </w:r>
          </w:p>
        </w:tc>
      </w:tr>
      <w:tr>
        <w:trPr>
          <w:trHeight w:val="741"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Elementy prawa cywilnego i administracyjnego </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15</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9</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II</w:t>
            </w:r>
          </w:p>
        </w:tc>
      </w:tr>
      <w:tr>
        <w:trPr>
          <w:trHeight w:val="598"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Przyrodniczo-ekonomiczne aspekty szkód a gospodarka łowiecka (Augustowski)</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15</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w:t>
            </w:r>
          </w:p>
        </w:tc>
        <w:tc>
          <w:tcPr>
            <w:tcW w:w="429" w:type="dxa"/>
            <w:tcBorders>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II</w:t>
            </w:r>
          </w:p>
        </w:tc>
      </w:tr>
      <w:tr>
        <w:trPr>
          <w:trHeight w:val="655" w:hRule="atLeast"/>
        </w:trPr>
        <w:tc>
          <w:tcPr>
            <w:tcW w:w="3516" w:type="dxa"/>
            <w:tcBorders>
              <w:left w:val="single" w:sz="8" w:space="0" w:color="808080"/>
              <w:bottom w:val="single" w:sz="4" w:space="0" w:color="808080"/>
            </w:tcBorders>
            <w:shd w:color="auto" w:fill="auto"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Metody szacowania szkód, wycena  odszkodowań </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20</w:t>
            </w:r>
          </w:p>
        </w:tc>
        <w:tc>
          <w:tcPr>
            <w:tcW w:w="607" w:type="dxa"/>
            <w:tcBorders>
              <w:bottom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429" w:type="dxa"/>
            <w:tcBorders>
              <w:top w:val="single" w:sz="4" w:space="0" w:color="808080"/>
              <w:left w:val="single" w:sz="4" w:space="0" w:color="808080"/>
              <w:bottom w:val="single" w:sz="4" w:space="0" w:color="00000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817" w:type="dxa"/>
            <w:tcBorders/>
            <w:shd w:color="auto" w:fill="auto" w:val="clear"/>
            <w:vAlign w:val="bottom"/>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540" w:type="dxa"/>
            <w:tcBorders>
              <w:left w:val="single" w:sz="4" w:space="0" w:color="808080"/>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II</w:t>
            </w:r>
          </w:p>
        </w:tc>
      </w:tr>
      <w:tr>
        <w:trPr>
          <w:trHeight w:val="612"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Inwentaryzacja szkód rolnych i leśnych z wykorzystaniem danych pozyskanych z pokładu BSP </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16</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8</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817" w:type="dxa"/>
            <w:tcBorders>
              <w:top w:val="single" w:sz="4"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8</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w:t>
            </w:r>
          </w:p>
        </w:tc>
      </w:tr>
      <w:tr>
        <w:trPr>
          <w:trHeight w:val="524"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Ekonomika produkcji rolnej i leśnej </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15</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w:t>
            </w:r>
          </w:p>
        </w:tc>
      </w:tr>
      <w:tr>
        <w:trPr>
          <w:trHeight w:val="627"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Ubezpieczenie upraw od dzikich zwierząt</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10</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II</w:t>
            </w:r>
          </w:p>
        </w:tc>
      </w:tr>
      <w:tr>
        <w:trPr>
          <w:trHeight w:val="684" w:hRule="atLeast"/>
        </w:trPr>
        <w:tc>
          <w:tcPr>
            <w:tcW w:w="3516" w:type="dxa"/>
            <w:tcBorders>
              <w:left w:val="single" w:sz="8" w:space="0" w:color="808080"/>
              <w:bottom w:val="single" w:sz="4" w:space="0" w:color="808080"/>
            </w:tcBorders>
            <w:shd w:color="auto" w:fill="auto"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Strategie i techniki negocjacji oraz rozwiązywania konfliktów</w:t>
            </w:r>
          </w:p>
        </w:tc>
        <w:tc>
          <w:tcPr>
            <w:tcW w:w="823" w:type="dxa"/>
            <w:tcBorders>
              <w:left w:val="single" w:sz="8" w:space="0" w:color="808080"/>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15</w:t>
            </w:r>
          </w:p>
        </w:tc>
        <w:tc>
          <w:tcPr>
            <w:tcW w:w="607" w:type="dxa"/>
            <w:tcBorders>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w:t>
            </w:r>
          </w:p>
        </w:tc>
        <w:tc>
          <w:tcPr>
            <w:tcW w:w="429" w:type="dxa"/>
            <w:tcBorders>
              <w:right w:val="single" w:sz="4" w:space="0" w:color="808080"/>
            </w:tcBorders>
            <w:shd w:color="auto" w:fill="auto" w:val="clear"/>
            <w:vAlign w:val="bottom"/>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w:t>
            </w:r>
          </w:p>
        </w:tc>
        <w:tc>
          <w:tcPr>
            <w:tcW w:w="817" w:type="dxa"/>
            <w:tcBorders>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540" w:type="dxa"/>
            <w:tcBorders>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II</w:t>
            </w:r>
          </w:p>
        </w:tc>
      </w:tr>
      <w:tr>
        <w:trPr>
          <w:trHeight w:val="655" w:hRule="atLeast"/>
        </w:trPr>
        <w:tc>
          <w:tcPr>
            <w:tcW w:w="3516" w:type="dxa"/>
            <w:tcBorders>
              <w:left w:val="single" w:sz="8" w:space="0" w:color="808080"/>
              <w:bottom w:val="single" w:sz="4" w:space="0" w:color="808080"/>
            </w:tcBorders>
            <w:shd w:color="auto" w:fill="auto"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Biologia zwierząt łownych</w:t>
            </w:r>
          </w:p>
        </w:tc>
        <w:tc>
          <w:tcPr>
            <w:tcW w:w="823" w:type="dxa"/>
            <w:tcBorders>
              <w:left w:val="single" w:sz="8" w:space="0" w:color="808080"/>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30</w:t>
            </w:r>
          </w:p>
        </w:tc>
        <w:tc>
          <w:tcPr>
            <w:tcW w:w="607" w:type="dxa"/>
            <w:tcBorders>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15</w:t>
            </w:r>
          </w:p>
        </w:tc>
        <w:tc>
          <w:tcPr>
            <w:tcW w:w="429" w:type="dxa"/>
            <w:tcBorders>
              <w:top w:val="single" w:sz="4" w:space="0" w:color="000000"/>
              <w:bottom w:val="single" w:sz="4" w:space="0" w:color="808080"/>
              <w:right w:val="single" w:sz="4" w:space="0" w:color="808080"/>
            </w:tcBorders>
            <w:shd w:color="auto" w:fill="auto" w:val="clear"/>
            <w:vAlign w:val="bottom"/>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w:t>
            </w:r>
          </w:p>
        </w:tc>
        <w:tc>
          <w:tcPr>
            <w:tcW w:w="817" w:type="dxa"/>
            <w:tcBorders>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15</w:t>
            </w:r>
          </w:p>
        </w:tc>
        <w:tc>
          <w:tcPr>
            <w:tcW w:w="786" w:type="dxa"/>
            <w:tcBorders>
              <w:bottom w:val="single" w:sz="4" w:space="0" w:color="80808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4</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w:t>
            </w:r>
          </w:p>
        </w:tc>
      </w:tr>
      <w:tr>
        <w:trPr>
          <w:trHeight w:val="655" w:hRule="atLeast"/>
        </w:trPr>
        <w:tc>
          <w:tcPr>
            <w:tcW w:w="3516" w:type="dxa"/>
            <w:tcBorders>
              <w:left w:val="single" w:sz="8" w:space="0" w:color="808080"/>
              <w:bottom w:val="single" w:sz="4" w:space="0" w:color="808080"/>
            </w:tcBorders>
            <w:shd w:color="000000" w:fill="FFFFFF"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Projekt / seminarium</w:t>
            </w:r>
          </w:p>
        </w:tc>
        <w:tc>
          <w:tcPr>
            <w:tcW w:w="823" w:type="dxa"/>
            <w:tcBorders>
              <w:left w:val="single" w:sz="8" w:space="0" w:color="808080"/>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z/o</w:t>
            </w:r>
          </w:p>
        </w:tc>
        <w:tc>
          <w:tcPr>
            <w:tcW w:w="730" w:type="dxa"/>
            <w:tcBorders>
              <w:bottom w:val="single" w:sz="4" w:space="0" w:color="808080"/>
              <w:right w:val="single" w:sz="4" w:space="0" w:color="808080"/>
            </w:tcBorders>
            <w:shd w:color="000000" w:fill="BFBFB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30</w:t>
            </w:r>
          </w:p>
        </w:tc>
        <w:tc>
          <w:tcPr>
            <w:tcW w:w="60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429"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817"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540" w:type="dxa"/>
            <w:tcBorders>
              <w:bottom w:val="single" w:sz="4" w:space="0" w:color="808080"/>
              <w:right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 </w:t>
            </w:r>
          </w:p>
        </w:tc>
        <w:tc>
          <w:tcPr>
            <w:tcW w:w="786" w:type="dxa"/>
            <w:tcBorders>
              <w:bottom w:val="single" w:sz="4" w:space="0" w:color="808080"/>
            </w:tcBorders>
            <w:shd w:color="000000" w:fill="FFFFFF"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30</w:t>
            </w:r>
          </w:p>
        </w:tc>
        <w:tc>
          <w:tcPr>
            <w:tcW w:w="904" w:type="dxa"/>
            <w:tcBorders>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4</w:t>
            </w:r>
          </w:p>
        </w:tc>
        <w:tc>
          <w:tcPr>
            <w:tcW w:w="828"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II</w:t>
            </w:r>
          </w:p>
        </w:tc>
      </w:tr>
      <w:tr>
        <w:trPr>
          <w:trHeight w:val="570" w:hRule="atLeast"/>
        </w:trPr>
        <w:tc>
          <w:tcPr>
            <w:tcW w:w="3516" w:type="dxa"/>
            <w:tcBorders>
              <w:left w:val="single" w:sz="8" w:space="0" w:color="808080"/>
              <w:bottom w:val="single" w:sz="8" w:space="0" w:color="808080"/>
            </w:tcBorders>
            <w:shd w:color="000000" w:fill="C0C0C0"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b/>
                <w:bCs/>
                <w:sz w:val="20"/>
                <w:szCs w:val="20"/>
              </w:rPr>
              <w:t>Razem</w:t>
            </w:r>
          </w:p>
        </w:tc>
        <w:tc>
          <w:tcPr>
            <w:tcW w:w="823" w:type="dxa"/>
            <w:tcBorders>
              <w:left w:val="single" w:sz="8" w:space="0" w:color="808080"/>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 </w:t>
            </w:r>
          </w:p>
        </w:tc>
        <w:tc>
          <w:tcPr>
            <w:tcW w:w="730"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224</w:t>
            </w:r>
          </w:p>
        </w:tc>
        <w:tc>
          <w:tcPr>
            <w:tcW w:w="607"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92</w:t>
            </w:r>
          </w:p>
        </w:tc>
        <w:tc>
          <w:tcPr>
            <w:tcW w:w="429"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69</w:t>
            </w:r>
          </w:p>
        </w:tc>
        <w:tc>
          <w:tcPr>
            <w:tcW w:w="817"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10</w:t>
            </w:r>
          </w:p>
        </w:tc>
        <w:tc>
          <w:tcPr>
            <w:tcW w:w="540"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23</w:t>
            </w:r>
          </w:p>
        </w:tc>
        <w:tc>
          <w:tcPr>
            <w:tcW w:w="786" w:type="dxa"/>
            <w:tcBorders>
              <w:bottom w:val="single" w:sz="8" w:space="0" w:color="808080"/>
              <w:right w:val="single" w:sz="4"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30</w:t>
            </w:r>
          </w:p>
        </w:tc>
        <w:tc>
          <w:tcPr>
            <w:tcW w:w="904" w:type="dxa"/>
            <w:tcBorders>
              <w:bottom w:val="single" w:sz="8" w:space="0" w:color="808080"/>
            </w:tcBorders>
            <w:shd w:color="000000" w:fill="C0C0C0"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30</w:t>
            </w:r>
          </w:p>
        </w:tc>
        <w:tc>
          <w:tcPr>
            <w:tcW w:w="828" w:type="dxa"/>
            <w:tcBorders>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 </w:t>
            </w:r>
          </w:p>
        </w:tc>
      </w:tr>
    </w:tbl>
    <w:p>
      <w:pPr>
        <w:pStyle w:val="Normal"/>
        <w:rPr/>
      </w:pPr>
      <w:r>
        <w:rPr/>
      </w:r>
    </w:p>
    <w:p>
      <w:pPr>
        <w:pStyle w:val="Normal"/>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ListParagraph"/>
        <w:numPr>
          <w:ilvl w:val="1"/>
          <w:numId w:val="3"/>
        </w:numPr>
        <w:spacing w:lineRule="auto" w:line="360" w:before="0" w:after="0"/>
        <w:contextualSpacing/>
        <w:jc w:val="both"/>
        <w:rPr>
          <w:rFonts w:ascii="Times New Roman" w:hAnsi="Times New Roman" w:cs="Times New Roman"/>
          <w:b/>
          <w:b/>
          <w:sz w:val="28"/>
          <w:szCs w:val="28"/>
        </w:rPr>
      </w:pPr>
      <w:r>
        <w:rPr>
          <w:rFonts w:cs="Times New Roman" w:ascii="Times New Roman" w:hAnsi="Times New Roman"/>
          <w:b/>
          <w:sz w:val="28"/>
          <w:szCs w:val="28"/>
        </w:rPr>
        <w:t>Sposoby weryfikacji zakładanych efektów kształcenia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Podstawowe sposoby weryfikacji zakładanych efektów kształcenia na studiach podyplomowych </w:t>
      </w:r>
      <w:bookmarkStart w:id="2" w:name="_Hlk155805036"/>
      <w:r>
        <w:rPr>
          <w:rFonts w:cs="Times New Roman" w:ascii="Times New Roman" w:hAnsi="Times New Roman"/>
          <w:i/>
          <w:sz w:val="24"/>
          <w:szCs w:val="24"/>
        </w:rPr>
        <w:t xml:space="preserve">Szkody w gospodarstwach rolnych i ich szacowanie </w:t>
      </w:r>
      <w:bookmarkEnd w:id="2"/>
      <w:r>
        <w:rPr>
          <w:rFonts w:cs="Times New Roman" w:ascii="Times New Roman" w:hAnsi="Times New Roman"/>
          <w:sz w:val="24"/>
          <w:szCs w:val="24"/>
        </w:rPr>
        <w:t>to: 1) udział w zajęciach, 2) egzaminy, 3) bieżąca ewaluacja postępów w kształceniu podczas zajęć praca pisemna, 4) przygotowanie pisemnej pracy dyplomowej.</w:t>
      </w:r>
    </w:p>
    <w:p>
      <w:pPr>
        <w:pStyle w:val="Normal"/>
        <w:rPr/>
      </w:pPr>
      <w:r>
        <w:rPr/>
      </w:r>
    </w:p>
    <w:p>
      <w:pPr>
        <w:pStyle w:val="ListParagraph"/>
        <w:spacing w:lineRule="auto" w:line="360" w:before="0" w:after="0"/>
        <w:ind w:left="1080" w:hanging="0"/>
        <w:contextualSpacing/>
        <w:jc w:val="center"/>
        <w:rPr/>
      </w:pPr>
      <w:r>
        <w:rP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1677226"/>
    </w:sdtPr>
    <w:sdtContent>
      <w:p>
        <w:pPr>
          <w:pStyle w:val="Stopka"/>
          <w:jc w:val="right"/>
          <w:rPr/>
        </w:pPr>
        <w:r>
          <w:rPr/>
          <w:fldChar w:fldCharType="begin"/>
        </w:r>
        <w:r>
          <w:rPr/>
          <w:instrText> PAGE </w:instrText>
        </w:r>
        <w:r>
          <w:rPr/>
          <w:fldChar w:fldCharType="separate"/>
        </w:r>
        <w:r>
          <w:rPr/>
          <w:t>13</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1004" w:hanging="720"/>
      </w:pPr>
      <w:rPr>
        <w:sz w:val="28"/>
        <w:b/>
        <w:rFonts w:ascii="Times New Roman" w:hAnsi="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5ea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ormal"/>
    <w:next w:val="Normal"/>
    <w:link w:val="Nagwek1Znak"/>
    <w:uiPriority w:val="9"/>
    <w:qFormat/>
    <w:rsid w:val="0029191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29191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qFormat/>
    <w:rsid w:val="008826dd"/>
    <w:pPr>
      <w:keepNext w:val="true"/>
      <w:spacing w:lineRule="auto" w:line="240" w:before="0" w:after="0"/>
      <w:jc w:val="both"/>
      <w:outlineLvl w:val="2"/>
    </w:pPr>
    <w:rPr>
      <w:rFonts w:ascii="Arial" w:hAnsi="Arial" w:eastAsia="Arial Unicode MS" w:cs="Times New Roman"/>
      <w:sz w:val="24"/>
      <w:szCs w:val="20"/>
    </w:rPr>
  </w:style>
  <w:style w:type="paragraph" w:styleId="Nagwek4">
    <w:name w:val="Heading 4"/>
    <w:basedOn w:val="Normal"/>
    <w:next w:val="Normal"/>
    <w:link w:val="Nagwek4Znak"/>
    <w:uiPriority w:val="9"/>
    <w:semiHidden/>
    <w:unhideWhenUsed/>
    <w:qFormat/>
    <w:rsid w:val="00b2457b"/>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kstpodstawowy2Znak" w:customStyle="1">
    <w:name w:val="Tekst podstawowy 2 Znak"/>
    <w:basedOn w:val="DefaultParagraphFont"/>
    <w:link w:val="Tekstpodstawowy2"/>
    <w:qFormat/>
    <w:rsid w:val="00990f81"/>
    <w:rPr>
      <w:rFonts w:ascii="Arial" w:hAnsi="Arial" w:eastAsia="Times New Roman" w:cs="Times New Roman"/>
      <w:sz w:val="24"/>
      <w:szCs w:val="20"/>
      <w:lang w:eastAsia="pl-PL"/>
    </w:rPr>
  </w:style>
  <w:style w:type="character" w:styleId="Strong">
    <w:name w:val="Strong"/>
    <w:basedOn w:val="DefaultParagraphFont"/>
    <w:uiPriority w:val="22"/>
    <w:qFormat/>
    <w:rsid w:val="00531ceb"/>
    <w:rPr>
      <w:b/>
      <w:bCs/>
    </w:rPr>
  </w:style>
  <w:style w:type="character" w:styleId="Appleconvertedspace" w:customStyle="1">
    <w:name w:val="apple-converted-space"/>
    <w:basedOn w:val="DefaultParagraphFont"/>
    <w:qFormat/>
    <w:rsid w:val="00057f8d"/>
    <w:rPr/>
  </w:style>
  <w:style w:type="character" w:styleId="Nagwek3Znak" w:customStyle="1">
    <w:name w:val="Nagłówek 3 Znak"/>
    <w:basedOn w:val="DefaultParagraphFont"/>
    <w:link w:val="Nagwek3"/>
    <w:qFormat/>
    <w:rsid w:val="008826dd"/>
    <w:rPr>
      <w:rFonts w:ascii="Arial" w:hAnsi="Arial" w:eastAsia="Arial Unicode MS" w:cs="Times New Roman"/>
      <w:sz w:val="24"/>
      <w:szCs w:val="20"/>
      <w:lang w:eastAsia="pl-PL"/>
    </w:rPr>
  </w:style>
  <w:style w:type="character" w:styleId="Czeinternetowe">
    <w:name w:val="Łącze internetowe"/>
    <w:basedOn w:val="DefaultParagraphFont"/>
    <w:uiPriority w:val="99"/>
    <w:unhideWhenUsed/>
    <w:rsid w:val="00fc20ab"/>
    <w:rPr>
      <w:color w:val="0000FF" w:themeColor="hyperlink"/>
      <w:u w:val="single"/>
    </w:rPr>
  </w:style>
  <w:style w:type="character" w:styleId="NagwekZnak" w:customStyle="1">
    <w:name w:val="Nagłówek Znak"/>
    <w:basedOn w:val="DefaultParagraphFont"/>
    <w:link w:val="Nagwek"/>
    <w:uiPriority w:val="99"/>
    <w:semiHidden/>
    <w:qFormat/>
    <w:rsid w:val="00fc20ab"/>
    <w:rPr/>
  </w:style>
  <w:style w:type="character" w:styleId="StopkaZnak" w:customStyle="1">
    <w:name w:val="Stopka Znak"/>
    <w:basedOn w:val="DefaultParagraphFont"/>
    <w:link w:val="Stopka"/>
    <w:uiPriority w:val="99"/>
    <w:qFormat/>
    <w:rsid w:val="00fc20ab"/>
    <w:rPr/>
  </w:style>
  <w:style w:type="character" w:styleId="ZakrestematycznyprzedmiotuZnak" w:customStyle="1">
    <w:name w:val="Zakres tematyczny przedmiotu Znak"/>
    <w:uiPriority w:val="99"/>
    <w:qFormat/>
    <w:rsid w:val="006e2337"/>
    <w:rPr>
      <w:rFonts w:ascii="Arial" w:hAnsi="Arial" w:cs="Arial"/>
      <w:b/>
      <w:bCs/>
      <w:caps/>
      <w:sz w:val="24"/>
      <w:szCs w:val="24"/>
      <w:lang w:val="pl-PL" w:eastAsia="pl-PL"/>
    </w:rPr>
  </w:style>
  <w:style w:type="character" w:styleId="TekstpodstawowyZnak" w:customStyle="1">
    <w:name w:val="Tekst podstawowy Znak"/>
    <w:basedOn w:val="DefaultParagraphFont"/>
    <w:link w:val="Tekstpodstawowy"/>
    <w:qFormat/>
    <w:rsid w:val="006e2337"/>
    <w:rPr>
      <w:rFonts w:ascii="Arial" w:hAnsi="Arial" w:eastAsia="Times New Roman" w:cs="Arial"/>
      <w:sz w:val="20"/>
      <w:szCs w:val="24"/>
      <w:lang w:eastAsia="ar-SA"/>
    </w:rPr>
  </w:style>
  <w:style w:type="character" w:styleId="TekstprzypisudolnegoZnak" w:customStyle="1">
    <w:name w:val="Tekst przypisu dolnego Znak"/>
    <w:basedOn w:val="DefaultParagraphFont"/>
    <w:link w:val="Tekstprzypisudolnego"/>
    <w:semiHidden/>
    <w:qFormat/>
    <w:rsid w:val="006e2337"/>
    <w:rPr>
      <w:rFonts w:ascii="Times New Roman" w:hAnsi="Times New Roman" w:eastAsia="Times New Roman" w:cs="Times New Roman"/>
      <w:sz w:val="20"/>
      <w:szCs w:val="20"/>
      <w:lang w:eastAsia="pl-PL"/>
    </w:rPr>
  </w:style>
  <w:style w:type="character" w:styleId="Nagwek1Znak" w:customStyle="1">
    <w:name w:val="Nagłówek 1 Znak"/>
    <w:basedOn w:val="DefaultParagraphFont"/>
    <w:link w:val="Nagwek1"/>
    <w:uiPriority w:val="9"/>
    <w:qFormat/>
    <w:rsid w:val="0029191f"/>
    <w:rPr>
      <w:rFonts w:ascii="Cambria" w:hAnsi="Cambria" w:eastAsia="" w:cs=""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link w:val="Nagwek2"/>
    <w:uiPriority w:val="9"/>
    <w:qFormat/>
    <w:rsid w:val="0029191f"/>
    <w:rPr>
      <w:rFonts w:ascii="Cambria" w:hAnsi="Cambria" w:eastAsia="" w:cs="" w:asciiTheme="majorHAnsi" w:cstheme="majorBidi" w:eastAsiaTheme="majorEastAsia" w:hAnsiTheme="majorHAnsi"/>
      <w:b/>
      <w:bCs/>
      <w:color w:val="4F81BD" w:themeColor="accent1"/>
      <w:sz w:val="26"/>
      <w:szCs w:val="26"/>
    </w:rPr>
  </w:style>
  <w:style w:type="character" w:styleId="TekstdymkaZnak" w:customStyle="1">
    <w:name w:val="Tekst dymka Znak"/>
    <w:basedOn w:val="DefaultParagraphFont"/>
    <w:link w:val="Tekstdymka"/>
    <w:uiPriority w:val="99"/>
    <w:semiHidden/>
    <w:qFormat/>
    <w:rsid w:val="009c51a1"/>
    <w:rPr>
      <w:rFonts w:ascii="Tahoma" w:hAnsi="Tahoma" w:cs="Tahoma"/>
      <w:sz w:val="16"/>
      <w:szCs w:val="16"/>
    </w:rPr>
  </w:style>
  <w:style w:type="character" w:styleId="UnresolvedMention">
    <w:name w:val="Unresolved Mention"/>
    <w:basedOn w:val="DefaultParagraphFont"/>
    <w:uiPriority w:val="99"/>
    <w:semiHidden/>
    <w:unhideWhenUsed/>
    <w:qFormat/>
    <w:rsid w:val="004733b0"/>
    <w:rPr>
      <w:color w:val="605E5C"/>
      <w:shd w:fill="E1DFDD" w:val="clear"/>
    </w:rPr>
  </w:style>
  <w:style w:type="character" w:styleId="Nagwek4Znak" w:customStyle="1">
    <w:name w:val="Nagłówek 4 Znak"/>
    <w:basedOn w:val="DefaultParagraphFont"/>
    <w:link w:val="Nagwek4"/>
    <w:uiPriority w:val="9"/>
    <w:semiHidden/>
    <w:qFormat/>
    <w:rsid w:val="00b2457b"/>
    <w:rPr>
      <w:rFonts w:ascii="Cambria" w:hAnsi="Cambria" w:eastAsia="" w:cs="" w:asciiTheme="majorHAnsi" w:cstheme="majorBidi" w:eastAsiaTheme="majorEastAsia" w:hAnsiTheme="majorHAnsi"/>
      <w:i/>
      <w:iCs/>
      <w:color w:val="365F91" w:themeColor="accent1" w:themeShade="bf"/>
    </w:rPr>
  </w:style>
  <w:style w:type="character" w:styleId="Annotationreference">
    <w:name w:val="annotation reference"/>
    <w:basedOn w:val="DefaultParagraphFont"/>
    <w:uiPriority w:val="99"/>
    <w:semiHidden/>
    <w:unhideWhenUsed/>
    <w:qFormat/>
    <w:rsid w:val="0018179b"/>
    <w:rPr>
      <w:sz w:val="16"/>
      <w:szCs w:val="16"/>
    </w:rPr>
  </w:style>
  <w:style w:type="character" w:styleId="TekstkomentarzaZnak" w:customStyle="1">
    <w:name w:val="Tekst komentarza Znak"/>
    <w:basedOn w:val="DefaultParagraphFont"/>
    <w:link w:val="Tekstkomentarza"/>
    <w:uiPriority w:val="99"/>
    <w:semiHidden/>
    <w:qFormat/>
    <w:rsid w:val="0018179b"/>
    <w:rPr>
      <w:sz w:val="20"/>
      <w:szCs w:val="20"/>
    </w:rPr>
  </w:style>
  <w:style w:type="character" w:styleId="TematkomentarzaZnak" w:customStyle="1">
    <w:name w:val="Temat komentarza Znak"/>
    <w:basedOn w:val="TekstkomentarzaZnak"/>
    <w:link w:val="Tematkomentarza"/>
    <w:uiPriority w:val="99"/>
    <w:semiHidden/>
    <w:qFormat/>
    <w:rsid w:val="0018179b"/>
    <w:rPr>
      <w:b/>
      <w:bCs/>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6e2337"/>
    <w:pPr>
      <w:suppressAutoHyphens w:val="true"/>
      <w:spacing w:lineRule="auto" w:line="240" w:before="0" w:after="120"/>
    </w:pPr>
    <w:rPr>
      <w:rFonts w:ascii="Arial" w:hAnsi="Arial" w:eastAsia="Times New Roman" w:cs="Arial"/>
      <w:sz w:val="20"/>
      <w:szCs w:val="24"/>
      <w:lang w:eastAsia="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odyText2">
    <w:name w:val="Body Text 2"/>
    <w:basedOn w:val="Normal"/>
    <w:link w:val="Tekstpodstawowy2Znak"/>
    <w:qFormat/>
    <w:rsid w:val="00990f81"/>
    <w:pPr>
      <w:spacing w:lineRule="auto" w:line="240" w:before="0" w:after="0"/>
      <w:jc w:val="both"/>
    </w:pPr>
    <w:rPr>
      <w:rFonts w:ascii="Arial" w:hAnsi="Arial" w:eastAsia="Times New Roman" w:cs="Times New Roman"/>
      <w:sz w:val="24"/>
      <w:szCs w:val="20"/>
    </w:rPr>
  </w:style>
  <w:style w:type="paragraph" w:styleId="ListParagraph">
    <w:name w:val="List Paragraph"/>
    <w:basedOn w:val="Normal"/>
    <w:uiPriority w:val="34"/>
    <w:qFormat/>
    <w:rsid w:val="00990f81"/>
    <w:pPr>
      <w:spacing w:before="0" w:after="20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fc20a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c20ab"/>
    <w:pPr>
      <w:tabs>
        <w:tab w:val="clear" w:pos="708"/>
        <w:tab w:val="center" w:pos="4536" w:leader="none"/>
        <w:tab w:val="right" w:pos="9072" w:leader="none"/>
      </w:tabs>
      <w:spacing w:lineRule="auto" w:line="240" w:before="0" w:after="0"/>
    </w:pPr>
    <w:rPr/>
  </w:style>
  <w:style w:type="paragraph" w:styleId="Efektyksztaceniaopis" w:customStyle="1">
    <w:name w:val="Efekty kształcenia - opis"/>
    <w:basedOn w:val="Normal"/>
    <w:uiPriority w:val="99"/>
    <w:qFormat/>
    <w:rsid w:val="00f94ca7"/>
    <w:pPr>
      <w:spacing w:lineRule="auto" w:line="240" w:before="0" w:after="60"/>
      <w:ind w:left="567" w:right="567" w:hanging="0"/>
      <w:jc w:val="both"/>
    </w:pPr>
    <w:rPr>
      <w:rFonts w:ascii="Arial" w:hAnsi="Arial" w:eastAsia="Times New Roman" w:cs="Times New Roman"/>
      <w:sz w:val="18"/>
      <w:szCs w:val="24"/>
    </w:rPr>
  </w:style>
  <w:style w:type="paragraph" w:styleId="Zawartotabeli">
    <w:name w:val="Zawartość tabeli"/>
    <w:basedOn w:val="Normal"/>
    <w:qFormat/>
    <w:pPr/>
    <w:rPr/>
  </w:style>
  <w:style w:type="paragraph" w:styleId="Nagwektabeli" w:customStyle="1">
    <w:name w:val="Nagłówek tabeli"/>
    <w:basedOn w:val="Normal"/>
    <w:qFormat/>
    <w:rsid w:val="006e2337"/>
    <w:pPr>
      <w:spacing w:lineRule="auto" w:line="240" w:before="120" w:after="120"/>
      <w:jc w:val="center"/>
    </w:pPr>
    <w:rPr>
      <w:rFonts w:ascii="Arial" w:hAnsi="Arial" w:eastAsia="Times New Roman" w:cs="Arial"/>
      <w:b/>
      <w:bCs/>
      <w:spacing w:val="20"/>
      <w:sz w:val="18"/>
      <w:szCs w:val="18"/>
    </w:rPr>
  </w:style>
  <w:style w:type="paragraph" w:styleId="Trybstudiw" w:customStyle="1">
    <w:name w:val="Tryb studiów"/>
    <w:basedOn w:val="Normal"/>
    <w:qFormat/>
    <w:rsid w:val="006e2337"/>
    <w:pPr>
      <w:spacing w:lineRule="auto" w:line="240" w:before="120" w:after="120"/>
      <w:jc w:val="center"/>
    </w:pPr>
    <w:rPr>
      <w:rFonts w:ascii="Arial" w:hAnsi="Arial" w:eastAsia="Times New Roman" w:cs="Arial"/>
      <w:b/>
      <w:bCs/>
      <w:spacing w:val="20"/>
      <w:sz w:val="18"/>
      <w:szCs w:val="18"/>
    </w:rPr>
  </w:style>
  <w:style w:type="paragraph" w:styleId="Formazaj" w:customStyle="1">
    <w:name w:val="Forma zajęć"/>
    <w:basedOn w:val="Normal"/>
    <w:qFormat/>
    <w:rsid w:val="006e2337"/>
    <w:pPr>
      <w:spacing w:lineRule="auto" w:line="240" w:before="60" w:after="60"/>
      <w:ind w:left="57" w:hanging="0"/>
    </w:pPr>
    <w:rPr>
      <w:rFonts w:ascii="Arial" w:hAnsi="Arial" w:eastAsia="Times New Roman" w:cs="Arial"/>
      <w:spacing w:val="20"/>
      <w:sz w:val="18"/>
      <w:szCs w:val="18"/>
    </w:rPr>
  </w:style>
  <w:style w:type="paragraph" w:styleId="Liczbagodzin" w:customStyle="1">
    <w:name w:val="Liczba godzin"/>
    <w:basedOn w:val="Normal"/>
    <w:qFormat/>
    <w:rsid w:val="006e2337"/>
    <w:pPr>
      <w:spacing w:lineRule="auto" w:line="240" w:before="60" w:after="60"/>
      <w:jc w:val="center"/>
    </w:pPr>
    <w:rPr>
      <w:rFonts w:ascii="Arial" w:hAnsi="Arial" w:eastAsia="Times New Roman" w:cs="Arial"/>
      <w:sz w:val="18"/>
      <w:szCs w:val="18"/>
    </w:rPr>
  </w:style>
  <w:style w:type="paragraph" w:styleId="Semestr" w:customStyle="1">
    <w:name w:val="Semestr"/>
    <w:basedOn w:val="Normal"/>
    <w:qFormat/>
    <w:rsid w:val="006e2337"/>
    <w:pPr>
      <w:spacing w:lineRule="auto" w:line="240" w:before="60" w:after="60"/>
      <w:jc w:val="center"/>
    </w:pPr>
    <w:rPr>
      <w:rFonts w:ascii="Arial" w:hAnsi="Arial" w:eastAsia="Times New Roman" w:cs="Arial"/>
      <w:sz w:val="18"/>
      <w:szCs w:val="18"/>
    </w:rPr>
  </w:style>
  <w:style w:type="paragraph" w:styleId="PunktyECTS" w:customStyle="1">
    <w:name w:val="Punkty ECTS"/>
    <w:basedOn w:val="Normal"/>
    <w:qFormat/>
    <w:rsid w:val="006e2337"/>
    <w:pPr>
      <w:spacing w:lineRule="auto" w:line="240" w:before="60" w:after="60"/>
      <w:jc w:val="center"/>
    </w:pPr>
    <w:rPr>
      <w:rFonts w:ascii="Arial" w:hAnsi="Arial" w:eastAsia="Times New Roman" w:cs="Arial"/>
      <w:sz w:val="18"/>
      <w:szCs w:val="18"/>
    </w:rPr>
  </w:style>
  <w:style w:type="paragraph" w:styleId="Zakrestematycznyprzedmiotu" w:customStyle="1">
    <w:name w:val="Zakres tematyczny przedmiotu"/>
    <w:basedOn w:val="Normal"/>
    <w:next w:val="Zakrestematycznyprzedmiotuszczegowetrecimerytoryczne"/>
    <w:qFormat/>
    <w:rsid w:val="006e2337"/>
    <w:pPr>
      <w:spacing w:lineRule="auto" w:line="240" w:before="360" w:after="60"/>
    </w:pPr>
    <w:rPr>
      <w:rFonts w:ascii="Arial" w:hAnsi="Arial" w:eastAsia="Times New Roman" w:cs="Arial"/>
      <w:b/>
      <w:bCs/>
      <w:caps/>
      <w:sz w:val="20"/>
      <w:szCs w:val="20"/>
    </w:rPr>
  </w:style>
  <w:style w:type="paragraph" w:styleId="Nazwaprzedmiotu" w:customStyle="1">
    <w:name w:val="Nazwa przedmiotu"/>
    <w:basedOn w:val="Normal"/>
    <w:qFormat/>
    <w:rsid w:val="006e2337"/>
    <w:pPr>
      <w:spacing w:lineRule="auto" w:line="240" w:before="0" w:after="360"/>
      <w:jc w:val="center"/>
    </w:pPr>
    <w:rPr>
      <w:rFonts w:ascii="Arial" w:hAnsi="Arial" w:eastAsia="Times New Roman" w:cs="Arial"/>
      <w:b/>
      <w:bCs/>
      <w:caps/>
      <w:color w:val="993300"/>
      <w:spacing w:val="40"/>
      <w:sz w:val="24"/>
      <w:szCs w:val="24"/>
      <w:u w:val="single" w:color="800000"/>
    </w:rPr>
  </w:style>
  <w:style w:type="paragraph" w:styleId="Opisprzedmiotu" w:customStyle="1">
    <w:name w:val="Opis przedmiotu"/>
    <w:basedOn w:val="Normal"/>
    <w:qFormat/>
    <w:rsid w:val="006e2337"/>
    <w:pPr>
      <w:spacing w:lineRule="auto" w:line="240" w:before="60" w:after="60"/>
      <w:ind w:right="57" w:hanging="0"/>
      <w:jc w:val="right"/>
    </w:pPr>
    <w:rPr>
      <w:rFonts w:ascii="Arial" w:hAnsi="Arial" w:eastAsia="Times New Roman" w:cs="Arial"/>
      <w:spacing w:val="20"/>
      <w:sz w:val="20"/>
      <w:szCs w:val="20"/>
    </w:rPr>
  </w:style>
  <w:style w:type="paragraph" w:styleId="Odstp" w:customStyle="1">
    <w:name w:val="Odstęp"/>
    <w:basedOn w:val="Normal"/>
    <w:qFormat/>
    <w:rsid w:val="006e2337"/>
    <w:pPr>
      <w:spacing w:lineRule="auto" w:line="240" w:before="120" w:after="160"/>
    </w:pPr>
    <w:rPr>
      <w:rFonts w:ascii="Arial" w:hAnsi="Arial" w:eastAsia="Times New Roman" w:cs="Arial"/>
      <w:sz w:val="20"/>
      <w:szCs w:val="20"/>
    </w:rPr>
  </w:style>
  <w:style w:type="paragraph" w:styleId="Opisprzedmiotutre" w:customStyle="1">
    <w:name w:val="Opis przedmiotu - treść"/>
    <w:basedOn w:val="Normal"/>
    <w:qFormat/>
    <w:rsid w:val="006e2337"/>
    <w:pPr>
      <w:spacing w:lineRule="auto" w:line="240" w:before="60" w:after="60"/>
    </w:pPr>
    <w:rPr>
      <w:rFonts w:ascii="Arial" w:hAnsi="Arial" w:eastAsia="Times New Roman" w:cs="Arial"/>
      <w:sz w:val="20"/>
      <w:szCs w:val="20"/>
    </w:rPr>
  </w:style>
  <w:style w:type="paragraph" w:styleId="Opisprzedmiotutabela" w:customStyle="1">
    <w:name w:val="Opis przedmiotu - tabela"/>
    <w:basedOn w:val="Opisprzedmiotutre"/>
    <w:qFormat/>
    <w:rsid w:val="006e2337"/>
    <w:pPr>
      <w:ind w:left="57" w:hanging="0"/>
    </w:pPr>
    <w:rPr>
      <w:sz w:val="18"/>
      <w:szCs w:val="18"/>
    </w:rPr>
  </w:style>
  <w:style w:type="paragraph" w:styleId="Zakrestematycznyprzedmiotuszczegowetrecimerytoryczne" w:customStyle="1">
    <w:name w:val="Zakres tematyczny przedmiotu - szczegółowe treści merytoryczne"/>
    <w:basedOn w:val="Normal"/>
    <w:uiPriority w:val="99"/>
    <w:qFormat/>
    <w:rsid w:val="006e2337"/>
    <w:pPr>
      <w:spacing w:lineRule="auto" w:line="240" w:before="0" w:after="60"/>
      <w:ind w:left="567" w:right="567" w:hanging="0"/>
      <w:jc w:val="both"/>
    </w:pPr>
    <w:rPr>
      <w:rFonts w:ascii="Arial" w:hAnsi="Arial" w:eastAsia="Times New Roman" w:cs="Arial"/>
      <w:sz w:val="18"/>
      <w:szCs w:val="18"/>
    </w:rPr>
  </w:style>
  <w:style w:type="paragraph" w:styleId="Efektyksztacenia" w:customStyle="1">
    <w:name w:val="Efekty kształcenia"/>
    <w:basedOn w:val="Normal"/>
    <w:next w:val="Normal"/>
    <w:qFormat/>
    <w:rsid w:val="006e2337"/>
    <w:pPr>
      <w:spacing w:lineRule="auto" w:line="240" w:before="240" w:after="60"/>
    </w:pPr>
    <w:rPr>
      <w:rFonts w:ascii="Arial" w:hAnsi="Arial" w:eastAsia="Times New Roman" w:cs="Arial"/>
      <w:b/>
      <w:bCs/>
      <w:caps/>
      <w:sz w:val="20"/>
      <w:szCs w:val="20"/>
    </w:rPr>
  </w:style>
  <w:style w:type="paragraph" w:styleId="Literaturapodstawowa" w:customStyle="1">
    <w:name w:val="Literatura podstawowa"/>
    <w:basedOn w:val="Normal"/>
    <w:next w:val="Normal"/>
    <w:qFormat/>
    <w:rsid w:val="006e2337"/>
    <w:pPr>
      <w:spacing w:lineRule="auto" w:line="240" w:before="240" w:after="60"/>
    </w:pPr>
    <w:rPr>
      <w:rFonts w:ascii="Arial" w:hAnsi="Arial" w:eastAsia="Times New Roman" w:cs="Arial"/>
      <w:b/>
      <w:bCs/>
      <w:caps/>
      <w:sz w:val="20"/>
      <w:szCs w:val="20"/>
    </w:rPr>
  </w:style>
  <w:style w:type="paragraph" w:styleId="Literaturauzupeniajca" w:customStyle="1">
    <w:name w:val="Literatura uzupełniająca"/>
    <w:basedOn w:val="Normal"/>
    <w:next w:val="Normal"/>
    <w:qFormat/>
    <w:rsid w:val="006e2337"/>
    <w:pPr>
      <w:spacing w:lineRule="auto" w:line="240" w:before="120" w:after="0"/>
    </w:pPr>
    <w:rPr>
      <w:rFonts w:ascii="Arial" w:hAnsi="Arial" w:eastAsia="Times New Roman" w:cs="Arial"/>
      <w:b/>
      <w:bCs/>
      <w:caps/>
      <w:sz w:val="20"/>
      <w:szCs w:val="20"/>
    </w:rPr>
  </w:style>
  <w:style w:type="paragraph" w:styleId="Warunkizaliczenia" w:customStyle="1">
    <w:name w:val="Warunki zaliczenia"/>
    <w:basedOn w:val="Normal"/>
    <w:next w:val="Normal"/>
    <w:qFormat/>
    <w:rsid w:val="006e2337"/>
    <w:pPr>
      <w:spacing w:lineRule="auto" w:line="240" w:before="240" w:after="60"/>
    </w:pPr>
    <w:rPr>
      <w:rFonts w:ascii="Arial" w:hAnsi="Arial" w:eastAsia="Times New Roman" w:cs="Arial"/>
      <w:b/>
      <w:bCs/>
      <w:caps/>
      <w:sz w:val="20"/>
      <w:szCs w:val="20"/>
    </w:rPr>
  </w:style>
  <w:style w:type="paragraph" w:styleId="Uwagi" w:customStyle="1">
    <w:name w:val="Uwagi"/>
    <w:basedOn w:val="Normal"/>
    <w:next w:val="Uwagiopis"/>
    <w:qFormat/>
    <w:rsid w:val="006e2337"/>
    <w:pPr>
      <w:spacing w:lineRule="auto" w:line="240" w:before="240" w:after="60"/>
    </w:pPr>
    <w:rPr>
      <w:rFonts w:ascii="Arial" w:hAnsi="Arial" w:eastAsia="Times New Roman" w:cs="Times New Roman"/>
      <w:b/>
      <w:caps/>
      <w:sz w:val="20"/>
      <w:szCs w:val="24"/>
    </w:rPr>
  </w:style>
  <w:style w:type="paragraph" w:styleId="Warunkizaliczeniaopis" w:customStyle="1">
    <w:name w:val="Warunki zaliczenia - opis"/>
    <w:basedOn w:val="Zakrestematycznyprzedmiotuszczegowetrecimerytoryczne"/>
    <w:qFormat/>
    <w:rsid w:val="006e2337"/>
    <w:pPr/>
    <w:rPr>
      <w:rFonts w:cs="Times New Roman"/>
      <w:szCs w:val="24"/>
    </w:rPr>
  </w:style>
  <w:style w:type="paragraph" w:styleId="Pozycjaliteraturyuzupeniajcej" w:customStyle="1">
    <w:name w:val="Pozycja literatury uzupełniającej"/>
    <w:basedOn w:val="Normal"/>
    <w:qFormat/>
    <w:rsid w:val="006e2337"/>
    <w:pPr>
      <w:spacing w:lineRule="auto" w:line="240" w:before="0" w:after="60"/>
      <w:ind w:right="567" w:hanging="0"/>
      <w:jc w:val="both"/>
    </w:pPr>
    <w:rPr>
      <w:rFonts w:ascii="Arial" w:hAnsi="Arial" w:eastAsia="Times New Roman" w:cs="Times New Roman"/>
      <w:sz w:val="18"/>
      <w:szCs w:val="24"/>
    </w:rPr>
  </w:style>
  <w:style w:type="paragraph" w:styleId="Uwagiopis" w:customStyle="1">
    <w:name w:val="Uwagi - opis"/>
    <w:basedOn w:val="Zakrestematycznyprzedmiotuszczegowetrecimerytoryczne"/>
    <w:qFormat/>
    <w:rsid w:val="006e2337"/>
    <w:pPr/>
    <w:rPr>
      <w:rFonts w:cs="Times New Roman"/>
      <w:szCs w:val="24"/>
    </w:rPr>
  </w:style>
  <w:style w:type="paragraph" w:styleId="Pozycjaliteraturypodstawowej" w:customStyle="1">
    <w:name w:val="Pozycja literatury podstawowej"/>
    <w:basedOn w:val="Zakrestematycznyprzedmiotuszczegowetrecimerytoryczne"/>
    <w:qFormat/>
    <w:rsid w:val="006e2337"/>
    <w:pPr/>
    <w:rPr>
      <w:rFonts w:cs="Times New Roman"/>
      <w:szCs w:val="24"/>
    </w:rPr>
  </w:style>
  <w:style w:type="paragraph" w:styleId="Przypisdolny">
    <w:name w:val="Footnote Text"/>
    <w:basedOn w:val="Normal"/>
    <w:link w:val="TekstprzypisudolnegoZnak"/>
    <w:semiHidden/>
    <w:rsid w:val="006e2337"/>
    <w:pPr>
      <w:spacing w:lineRule="auto" w:line="240" w:before="0" w:after="0"/>
    </w:pPr>
    <w:rPr>
      <w:rFonts w:ascii="Times New Roman" w:hAnsi="Times New Roman" w:eastAsia="Times New Roman" w:cs="Times New Roman"/>
      <w:sz w:val="20"/>
      <w:szCs w:val="20"/>
    </w:rPr>
  </w:style>
  <w:style w:type="paragraph" w:styleId="BalloonText">
    <w:name w:val="Balloon Text"/>
    <w:basedOn w:val="Normal"/>
    <w:link w:val="TekstdymkaZnak"/>
    <w:uiPriority w:val="99"/>
    <w:semiHidden/>
    <w:unhideWhenUsed/>
    <w:qFormat/>
    <w:rsid w:val="009c51a1"/>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6564cd"/>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kstkomentarzaZnak"/>
    <w:uiPriority w:val="99"/>
    <w:semiHidden/>
    <w:unhideWhenUsed/>
    <w:qFormat/>
    <w:rsid w:val="0018179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18179b"/>
    <w:pPr/>
    <w:rPr>
      <w:b/>
      <w:bCs/>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6e2337"/>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990f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ekrutacja.uz.zgora.pl/" TargetMode="External"/><Relationship Id="rId3" Type="http://schemas.openxmlformats.org/officeDocument/2006/relationships/hyperlink" Target="mailto:a.kowalewicz@wez.uz.zgora.p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90CC1-2B1F-4709-B4CB-2AE65481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10</Pages>
  <Words>2695</Words>
  <Characters>18603</Characters>
  <CharactersWithSpaces>21205</CharactersWithSpaces>
  <Paragraphs>234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2024-03-14T14:47:00Z</dcterms:created>
  <dc:creator>Edi</dc:creator>
  <dc:description/>
  <dc:language>pl-PL</dc:language>
  <cp:lastModifiedBy>Piotr</cp:lastModifiedBy>
  <cp:lastPrinted>2024-01-09T09:36:00Z</cp:lastPrinted>
  <dcterms:modified xsi:type="dcterms:W3CDTF">2024-03-14T14:47:00Z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